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rPr>
      </w:pPr>
      <w:r>
        <w:rPr>
          <w:rFonts w:hint="eastAsia"/>
          <w:b/>
          <w:bCs/>
        </w:rPr>
        <w:t>第</w:t>
      </w:r>
      <w:r>
        <w:rPr>
          <w:b/>
          <w:bCs/>
        </w:rPr>
        <w:t>1</w:t>
      </w:r>
      <w:r>
        <w:rPr>
          <w:rFonts w:hint="eastAsia"/>
          <w:b/>
          <w:bCs/>
        </w:rPr>
        <w:t>章</w:t>
      </w:r>
      <w:r>
        <w:rPr>
          <w:b/>
          <w:bCs/>
        </w:rPr>
        <w:t xml:space="preserve"> </w:t>
      </w:r>
      <w:r>
        <w:rPr>
          <w:rFonts w:hint="eastAsia"/>
          <w:b/>
          <w:bCs/>
        </w:rPr>
        <w:t>数控车床车削基础知识</w:t>
      </w:r>
    </w:p>
    <w:p>
      <w:pPr>
        <w:ind w:firstLine="420" w:firstLineChars="200"/>
      </w:pPr>
    </w:p>
    <w:p>
      <w:pPr>
        <w:ind w:firstLine="420" w:firstLineChars="200"/>
      </w:pPr>
    </w:p>
    <w:p>
      <w:pPr>
        <w:ind w:firstLine="420" w:firstLineChars="200"/>
      </w:pPr>
      <w:r>
        <w:t>1</w:t>
      </w:r>
      <w:r>
        <w:rPr>
          <w:rFonts w:hint="eastAsia"/>
        </w:rPr>
        <w:t>．数控车床根据控制分类有哪些？主要适应那些场合？</w:t>
      </w:r>
    </w:p>
    <w:p>
      <w:pPr>
        <w:ind w:firstLine="420" w:firstLineChars="200"/>
        <w:rPr>
          <w:rFonts w:hint="eastAsia"/>
          <w:lang w:val="en-US" w:eastAsia="zh-CN"/>
        </w:rPr>
      </w:pPr>
      <w:r>
        <w:rPr>
          <w:rFonts w:hint="eastAsia"/>
          <w:lang w:val="en-US" w:eastAsia="zh-CN"/>
        </w:rPr>
        <w:t>答题要点：</w:t>
      </w:r>
    </w:p>
    <w:p>
      <w:pPr>
        <w:ind w:firstLine="600" w:firstLineChars="200"/>
        <w:rPr>
          <w:rFonts w:hint="eastAsia"/>
        </w:rPr>
      </w:pPr>
      <w:r>
        <w:rPr>
          <w:rFonts w:hint="eastAsia" w:ascii="Calibri" w:hAnsi="Calibri" w:eastAsia="宋体" w:cs="Times New Roman"/>
          <w:sz w:val="30"/>
          <w:szCs w:val="30"/>
        </w:rPr>
        <w:t xml:space="preserve"> </w:t>
      </w:r>
      <w:r>
        <w:rPr>
          <w:rFonts w:hint="eastAsia"/>
        </w:rPr>
        <w:t>数控车床根据控制主要可以分为开环控制、半闭环控制、闭环控制三大类。</w:t>
      </w:r>
    </w:p>
    <w:p>
      <w:pPr>
        <w:ind w:firstLine="420" w:firstLineChars="200"/>
        <w:rPr>
          <w:rFonts w:hint="eastAsia"/>
        </w:rPr>
      </w:pPr>
      <w:r>
        <w:rPr>
          <w:rFonts w:hint="eastAsia"/>
        </w:rPr>
        <w:t xml:space="preserve">   开环控制系统一般用于精度较低，适用粗加工或者加工境地要求较低的建筑机械上。</w:t>
      </w:r>
    </w:p>
    <w:p>
      <w:pPr>
        <w:ind w:firstLine="630" w:firstLineChars="300"/>
        <w:rPr>
          <w:rFonts w:hint="eastAsia"/>
        </w:rPr>
      </w:pPr>
      <w:r>
        <w:rPr>
          <w:rFonts w:hint="eastAsia"/>
        </w:rPr>
        <w:t>半闭环控制系统一般用于精度要求一般，适用于中小型企业、学校教学等场合。</w:t>
      </w:r>
    </w:p>
    <w:p>
      <w:pPr>
        <w:ind w:firstLine="630" w:firstLineChars="300"/>
        <w:rPr>
          <w:rFonts w:hint="eastAsia"/>
        </w:rPr>
      </w:pPr>
      <w:r>
        <w:rPr>
          <w:rFonts w:hint="eastAsia"/>
        </w:rPr>
        <w:t>闭环控制系统用于精度要求较高，适用于中大型企业。</w:t>
      </w:r>
    </w:p>
    <w:p>
      <w:pPr>
        <w:ind w:firstLine="420" w:firstLineChars="200"/>
      </w:pPr>
    </w:p>
    <w:p>
      <w:pPr>
        <w:ind w:firstLine="420" w:firstLineChars="200"/>
      </w:pPr>
      <w:r>
        <w:rPr>
          <w:rFonts w:hint="eastAsia"/>
        </w:rPr>
        <w:t>2.  数控车床的机械坐标、工件坐标之间的关系是什么？</w:t>
      </w:r>
    </w:p>
    <w:p>
      <w:pPr>
        <w:ind w:firstLine="420" w:firstLineChars="200"/>
        <w:rPr>
          <w:rFonts w:hint="eastAsia"/>
          <w:lang w:val="en-US" w:eastAsia="zh-CN"/>
        </w:rPr>
      </w:pPr>
      <w:r>
        <w:rPr>
          <w:rFonts w:hint="eastAsia"/>
          <w:lang w:val="en-US" w:eastAsia="zh-CN"/>
        </w:rPr>
        <w:t>答题要点：</w:t>
      </w:r>
    </w:p>
    <w:p>
      <w:pPr>
        <w:ind w:firstLine="600"/>
        <w:rPr>
          <w:rFonts w:ascii="宋体" w:hAnsi="宋体"/>
        </w:rPr>
      </w:pPr>
      <w:r>
        <w:rPr>
          <w:rFonts w:hint="eastAsia" w:ascii="宋体" w:hAnsi="宋体"/>
        </w:rPr>
        <w:t>建立工件坐标系是</w:t>
      </w:r>
      <w:r>
        <w:rPr>
          <w:rFonts w:ascii="宋体" w:hAnsi="宋体"/>
        </w:rPr>
        <w:fldChar w:fldCharType="begin"/>
      </w:r>
      <w:r>
        <w:rPr>
          <w:rFonts w:ascii="宋体" w:hAnsi="宋体"/>
        </w:rPr>
        <w:instrText xml:space="preserve">HYPERLINK "http://baike.baidu.com/subview/3045906/3045906.htm" \t "_blank"</w:instrText>
      </w:r>
      <w:r>
        <w:rPr>
          <w:rFonts w:ascii="宋体" w:hAnsi="宋体"/>
        </w:rPr>
        <w:fldChar w:fldCharType="separate"/>
      </w:r>
      <w:r>
        <w:rPr>
          <w:rFonts w:hint="eastAsia" w:ascii="宋体" w:hAnsi="宋体"/>
        </w:rPr>
        <w:t>数控车床加工</w:t>
      </w:r>
      <w:r>
        <w:rPr>
          <w:rFonts w:ascii="宋体" w:hAnsi="宋体"/>
        </w:rPr>
        <w:fldChar w:fldCharType="end"/>
      </w:r>
      <w:r>
        <w:rPr>
          <w:rFonts w:hint="eastAsia" w:ascii="宋体" w:hAnsi="宋体"/>
        </w:rPr>
        <w:t>前的必不可少的一步。编程人员在编写程序时根据零件图样及加工工艺，以工件上某一固定点为零点建立的笛卡尔坐标系，其原点即为工件原点。对于数控车床选择工件坐标系一般选择把工件原点设置在旋转轴与端面的交接点处。</w:t>
      </w:r>
    </w:p>
    <w:p>
      <w:pPr>
        <w:ind w:firstLine="600"/>
        <w:rPr>
          <w:rFonts w:ascii="宋体" w:hAnsi="宋体"/>
        </w:rPr>
      </w:pPr>
      <w:r>
        <w:rPr>
          <w:rFonts w:hint="eastAsia"/>
        </w:rPr>
        <w:t>数控车床的机械坐标、工件坐标之间的关系</w:t>
      </w:r>
      <w:r>
        <w:rPr>
          <w:rFonts w:hint="eastAsia" w:ascii="宋体" w:hAnsi="宋体"/>
        </w:rPr>
        <w:t>如图所示。</w:t>
      </w:r>
    </w:p>
    <w:p>
      <w:pPr>
        <w:widowControl/>
        <w:jc w:val="center"/>
        <w:rPr>
          <w:rFonts w:ascii="宋体" w:hAnsi="宋体" w:cs="宋体"/>
          <w:kern w:val="0"/>
          <w:sz w:val="24"/>
          <w:szCs w:val="24"/>
        </w:rPr>
      </w:pPr>
      <w:r>
        <w:rPr>
          <w:rFonts w:ascii="宋体" w:hAnsi="宋体" w:cs="宋体"/>
          <w:kern w:val="0"/>
          <w:sz w:val="24"/>
          <w:szCs w:val="24"/>
        </w:rPr>
        <w:fldChar w:fldCharType="begin"/>
      </w:r>
      <w:r>
        <w:rPr>
          <w:rFonts w:ascii="宋体" w:hAnsi="宋体" w:cs="宋体"/>
          <w:kern w:val="0"/>
          <w:sz w:val="24"/>
          <w:szCs w:val="24"/>
        </w:rPr>
        <w:instrText xml:space="preserve"> INCLUDEPICTURE "C:\\Documents and Settings\\lv\\Application Data\\Tencent\\Users\\46698148\\QQ\\WinTemp\\RichOle\\M]%`QAA)C{)RK)F64KBOPEL.png" \* MERGEFORMATINET </w:instrText>
      </w:r>
      <w:r>
        <w:rPr>
          <w:rFonts w:ascii="宋体" w:hAnsi="宋体" w:cs="宋体"/>
          <w:kern w:val="0"/>
          <w:sz w:val="24"/>
          <w:szCs w:val="24"/>
        </w:rPr>
        <w:fldChar w:fldCharType="separate"/>
      </w:r>
      <w:r>
        <w:rPr>
          <w:rFonts w:ascii="宋体" w:hAnsi="宋体" w:cs="宋体"/>
          <w:kern w:val="0"/>
          <w:sz w:val="24"/>
          <w:szCs w:val="24"/>
        </w:rPr>
        <w:drawing>
          <wp:inline distT="0" distB="0" distL="114300" distR="114300">
            <wp:extent cx="3242945" cy="1978660"/>
            <wp:effectExtent l="0" t="0" r="14605" b="2540"/>
            <wp:docPr id="10" name="图片 1" descr="M]%`QAA)C{)RK)F64KBOP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descr="M]%`QAA)C{)RK)F64KBOPEL"/>
                    <pic:cNvPicPr>
                      <a:picLocks noChangeAspect="1"/>
                    </pic:cNvPicPr>
                  </pic:nvPicPr>
                  <pic:blipFill>
                    <a:blip r:embed="rId4"/>
                    <a:stretch>
                      <a:fillRect/>
                    </a:stretch>
                  </pic:blipFill>
                  <pic:spPr>
                    <a:xfrm>
                      <a:off x="0" y="0"/>
                      <a:ext cx="3242945" cy="1978660"/>
                    </a:xfrm>
                    <a:prstGeom prst="rect">
                      <a:avLst/>
                    </a:prstGeom>
                    <a:noFill/>
                    <a:ln>
                      <a:noFill/>
                    </a:ln>
                  </pic:spPr>
                </pic:pic>
              </a:graphicData>
            </a:graphic>
          </wp:inline>
        </w:drawing>
      </w:r>
      <w:r>
        <w:rPr>
          <w:rFonts w:ascii="宋体" w:hAnsi="宋体" w:cs="宋体"/>
          <w:kern w:val="0"/>
          <w:sz w:val="24"/>
          <w:szCs w:val="24"/>
        </w:rPr>
        <w:fldChar w:fldCharType="end"/>
      </w:r>
    </w:p>
    <w:p>
      <w:pPr>
        <w:ind w:firstLine="420" w:firstLineChars="200"/>
      </w:pPr>
      <w:r>
        <w:rPr>
          <w:rFonts w:hint="eastAsia"/>
        </w:rPr>
        <w:t>3</w:t>
      </w:r>
      <w:r>
        <w:t>.</w:t>
      </w:r>
      <w:r>
        <w:rPr>
          <w:rFonts w:hint="eastAsia"/>
        </w:rPr>
        <w:t xml:space="preserve"> 试分析数控车床选择刀具时应结合哪些要素进行选取？</w:t>
      </w:r>
    </w:p>
    <w:p>
      <w:pPr>
        <w:ind w:firstLine="420" w:firstLineChars="200"/>
      </w:pPr>
    </w:p>
    <w:p>
      <w:pPr>
        <w:ind w:firstLine="420" w:firstLineChars="200"/>
      </w:pPr>
      <w:r>
        <w:rPr>
          <w:rFonts w:hint="eastAsia"/>
        </w:rPr>
        <w:t>答题要点：</w:t>
      </w:r>
    </w:p>
    <w:p>
      <w:pPr>
        <w:ind w:firstLine="540"/>
        <w:jc w:val="left"/>
        <w:rPr>
          <w:rFonts w:ascii="宋体" w:hAnsi="宋体" w:cs="宋体"/>
          <w:kern w:val="0"/>
        </w:rPr>
      </w:pPr>
      <w:r>
        <w:rPr>
          <w:rFonts w:hint="eastAsia" w:ascii="宋体" w:hAnsi="宋体" w:cs="宋体"/>
          <w:kern w:val="0"/>
        </w:rPr>
        <w:t>数控车削加工工艺系统主要由数控车床、刀具、工件等三大要素组成。车削加工工艺系统中刀具是一个相对灵活、关键的因素，其直接影响生产加工效率、尺寸稳定性、产品表面质量等，因此数控车刀的选择相对较为关键。</w:t>
      </w:r>
    </w:p>
    <w:p>
      <w:pPr>
        <w:pStyle w:val="12"/>
        <w:numPr>
          <w:numId w:val="0"/>
        </w:numPr>
        <w:ind w:left="420" w:leftChars="0"/>
      </w:pPr>
      <w:r>
        <w:rPr>
          <w:rFonts w:hint="eastAsia"/>
          <w:lang w:val="en-US" w:eastAsia="zh-CN"/>
        </w:rPr>
        <w:t>1</w:t>
      </w:r>
      <w:r>
        <w:rPr>
          <w:rFonts w:hint="eastAsia"/>
          <w:lang w:eastAsia="zh-CN"/>
        </w:rPr>
        <w:t>）</w:t>
      </w:r>
      <w:r>
        <w:rPr>
          <w:rFonts w:hint="eastAsia"/>
        </w:rPr>
        <w:t>首先数控车床选择刀具时应结合产品的材质、加工轮廓、加工精度进行选择；</w:t>
      </w:r>
    </w:p>
    <w:p>
      <w:pPr>
        <w:pStyle w:val="12"/>
        <w:numPr>
          <w:numId w:val="0"/>
        </w:numPr>
        <w:ind w:left="420" w:leftChars="0"/>
        <w:jc w:val="left"/>
      </w:pPr>
      <w:r>
        <w:rPr>
          <w:rFonts w:hint="eastAsia"/>
          <w:lang w:val="en-US" w:eastAsia="zh-CN"/>
        </w:rPr>
        <w:t>2</w:t>
      </w:r>
      <w:r>
        <w:rPr>
          <w:rFonts w:hint="eastAsia"/>
          <w:lang w:eastAsia="zh-CN"/>
        </w:rPr>
        <w:t>）</w:t>
      </w:r>
      <w:r>
        <w:rPr>
          <w:rFonts w:hint="eastAsia"/>
        </w:rPr>
        <w:t>其次数控车床选择刀具时应保证刀具具有足够的强度，合理选择刀具的几何角度；</w:t>
      </w:r>
    </w:p>
    <w:p>
      <w:pPr>
        <w:pStyle w:val="12"/>
        <w:numPr>
          <w:numId w:val="0"/>
        </w:numPr>
        <w:ind w:left="420" w:leftChars="0"/>
        <w:jc w:val="left"/>
      </w:pPr>
      <w:r>
        <w:rPr>
          <w:rFonts w:hint="eastAsia"/>
          <w:lang w:val="en-US" w:eastAsia="zh-CN"/>
        </w:rPr>
        <w:t>3）</w:t>
      </w:r>
      <w:r>
        <w:rPr>
          <w:rFonts w:hint="eastAsia"/>
        </w:rPr>
        <w:t>再者数控车床选择刀具时需结合产品加工批量大小进行选择；</w:t>
      </w:r>
    </w:p>
    <w:p>
      <w:pPr>
        <w:pStyle w:val="12"/>
        <w:numPr>
          <w:numId w:val="0"/>
        </w:numPr>
        <w:ind w:left="420" w:leftChars="0"/>
      </w:pPr>
      <w:r>
        <w:rPr>
          <w:rFonts w:hint="eastAsia"/>
          <w:lang w:val="en-US" w:eastAsia="zh-CN"/>
        </w:rPr>
        <w:t>4）</w:t>
      </w:r>
      <w:r>
        <w:rPr>
          <w:rFonts w:hint="eastAsia"/>
        </w:rPr>
        <w:t>最后数控车床选择刀具时需结合数控机床的刚性或工件加工时的特性（如加工时有冲击、震动等）考虑是否采用特殊刀具（防震刀等）；</w:t>
      </w:r>
    </w:p>
    <w:p>
      <w:pPr>
        <w:pStyle w:val="12"/>
        <w:ind w:left="780" w:firstLine="0" w:firstLineChars="0"/>
        <w:jc w:val="left"/>
      </w:pPr>
    </w:p>
    <w:p>
      <w:pPr>
        <w:ind w:firstLine="420" w:firstLineChars="200"/>
      </w:pPr>
      <w:r>
        <w:rPr>
          <w:rFonts w:hint="eastAsia"/>
        </w:rPr>
        <w:t>4．量具对数控车削产品零件的意义是什么？</w:t>
      </w:r>
    </w:p>
    <w:p>
      <w:pPr>
        <w:ind w:firstLine="840" w:firstLineChars="400"/>
      </w:pPr>
      <w:r>
        <w:rPr>
          <w:rFonts w:hint="eastAsia"/>
        </w:rPr>
        <w:t>答题要点：</w:t>
      </w:r>
    </w:p>
    <w:p>
      <w:pPr>
        <w:ind w:firstLine="840" w:firstLineChars="400"/>
      </w:pPr>
      <w:r>
        <w:rPr>
          <w:rFonts w:hint="eastAsia"/>
        </w:rPr>
        <w:t>正确的选用精密量具是保证产品质量的重要条件之一。为了保证产品质量。数控车削产品零件零件，必须根据图纸上规定的公差要求来制造，仅仅依靠人的感觉器官或简单的直尺是很不够的，必须借助于有一定精度的量具来测量。合理选择量具不仅可以保证产品加工品质，而且还能为数控车削精度调试提供有力保障。</w:t>
      </w:r>
    </w:p>
    <w:p>
      <w:pPr>
        <w:jc w:val="center"/>
        <w:rPr>
          <w:rFonts w:hint="eastAsia"/>
          <w:b/>
          <w:bCs/>
        </w:rPr>
      </w:pPr>
      <w:bookmarkStart w:id="0" w:name="_Toc18165975"/>
      <w:r>
        <w:rPr>
          <w:rFonts w:hint="eastAsia"/>
          <w:b/>
          <w:bCs/>
        </w:rPr>
        <w:t>第2章 CAXA数控车床基础知识概述</w:t>
      </w:r>
      <w:bookmarkEnd w:id="0"/>
    </w:p>
    <w:p>
      <w:pPr>
        <w:jc w:val="center"/>
        <w:rPr>
          <w:rFonts w:hint="eastAsia"/>
          <w:b/>
          <w:bCs/>
        </w:rPr>
      </w:pPr>
    </w:p>
    <w:p>
      <w:pPr>
        <w:ind w:firstLine="420" w:firstLineChars="200"/>
      </w:pPr>
      <w:r>
        <w:rPr>
          <w:rFonts w:hint="eastAsia"/>
        </w:rPr>
        <w:t>1. 结合CAXA数控车2016的界面，并简述界面含义？</w:t>
      </w:r>
    </w:p>
    <w:p>
      <w:pPr>
        <w:ind w:firstLine="840" w:firstLineChars="400"/>
      </w:pPr>
      <w:r>
        <w:rPr>
          <w:rFonts w:hint="eastAsia"/>
        </w:rPr>
        <w:t>答题要点：</w:t>
      </w:r>
    </w:p>
    <w:p>
      <w:pPr>
        <w:ind w:firstLine="420" w:firstLineChars="200"/>
      </w:pPr>
      <w:r>
        <w:rPr>
          <w:rFonts w:hint="eastAsia"/>
        </w:rPr>
        <w:t xml:space="preserve">    </w:t>
      </w:r>
      <w:r>
        <w:rPr>
          <w:rFonts w:hint="eastAsia" w:ascii="宋体" w:hAnsi="宋体" w:cs="微软雅黑"/>
        </w:rPr>
        <w:t>CAXA数控车2016的界面主要由绘图区、菜单条、立即菜单、命令栏、工具栏等组成。</w:t>
      </w:r>
    </w:p>
    <w:p>
      <w:pPr>
        <w:ind w:firstLine="420" w:firstLineChars="200"/>
      </w:pPr>
      <w:r>
        <w:t>绘图区</w:t>
      </w:r>
      <w:r>
        <w:rPr>
          <w:rFonts w:hint="eastAsia"/>
        </w:rPr>
        <w:t>是</w:t>
      </w:r>
      <w:r>
        <w:t>用户进行绘图设计的工作区域，它位于屏幕的中心，并占据了屏幕的大部分面积</w:t>
      </w:r>
      <w:r>
        <w:rPr>
          <w:rFonts w:hint="eastAsia"/>
        </w:rPr>
        <w:t>，</w:t>
      </w:r>
      <w:r>
        <w:t>为</w:t>
      </w:r>
      <w:r>
        <w:rPr>
          <w:rFonts w:hint="eastAsia"/>
        </w:rPr>
        <w:t>操作者</w:t>
      </w:r>
      <w:r>
        <w:t>显示全图提供了清晰的空间</w:t>
      </w:r>
    </w:p>
    <w:p>
      <w:pPr>
        <w:ind w:firstLine="420" w:firstLineChars="200"/>
      </w:pPr>
      <w:r>
        <w:t>主菜单位于</w:t>
      </w:r>
      <w:r>
        <w:rPr>
          <w:rFonts w:hint="eastAsia"/>
        </w:rPr>
        <w:t>界面</w:t>
      </w:r>
      <w:r>
        <w:t>的顶部。它由</w:t>
      </w:r>
      <w:r>
        <w:rPr>
          <w:rFonts w:hint="eastAsia"/>
        </w:rPr>
        <w:t>主</w:t>
      </w:r>
      <w:r>
        <w:t>菜单条及其子菜单组成，</w:t>
      </w:r>
      <w:r>
        <w:rPr>
          <w:rFonts w:hint="eastAsia"/>
        </w:rPr>
        <w:t>主</w:t>
      </w:r>
      <w:r>
        <w:t>菜单条包括文件、 编辑、视图、格式、绘制、标注、修改、工具、数控车和帮助等。</w:t>
      </w:r>
    </w:p>
    <w:p>
      <w:pPr>
        <w:spacing w:line="400" w:lineRule="exact"/>
        <w:ind w:firstLine="420" w:firstLineChars="200"/>
      </w:pPr>
      <w:r>
        <w:rPr>
          <w:rFonts w:hint="eastAsia" w:ascii="宋体" w:hAnsi="宋体" w:cs="微软雅黑"/>
        </w:rPr>
        <w:t>命令栏</w:t>
      </w:r>
      <w:r>
        <w:t>位于</w:t>
      </w:r>
      <w:r>
        <w:rPr>
          <w:rFonts w:hint="eastAsia"/>
        </w:rPr>
        <w:t>界面</w:t>
      </w:r>
      <w:r>
        <w:t>的顶部</w:t>
      </w:r>
      <w:r>
        <w:rPr>
          <w:rFonts w:hint="eastAsia"/>
        </w:rPr>
        <w:t>下侧，</w:t>
      </w:r>
      <w:r>
        <w:t>CAXA 数控车提供了多种显示当前状态的功能</w:t>
      </w:r>
      <w:r>
        <w:rPr>
          <w:rFonts w:hint="eastAsia"/>
        </w:rPr>
        <w:t>：</w:t>
      </w:r>
      <w:r>
        <w:t>屏幕状态显示</w:t>
      </w:r>
      <w:r>
        <w:rPr>
          <w:rFonts w:hint="eastAsia"/>
        </w:rPr>
        <w:t>、</w:t>
      </w:r>
      <w:r>
        <w:t>操作信息提示</w:t>
      </w:r>
      <w:r>
        <w:rPr>
          <w:rFonts w:hint="eastAsia"/>
        </w:rPr>
        <w:t>、</w:t>
      </w:r>
      <w:r>
        <w:t>当前工具点设置及拾取状态显示等。</w:t>
      </w:r>
    </w:p>
    <w:p>
      <w:pPr>
        <w:ind w:firstLine="420" w:firstLineChars="200"/>
      </w:pPr>
      <w:r>
        <w:t>在工具栏中，可以通过鼠标左键单击相应的功能按钮进行操作，系统默认工具栏包括标准工具栏、属性工具栏、常用工具条、绘图工具工具栏、绘图工具 II工具栏、标 注工具工具栏、图幅操作工具栏、设置工具工具栏、编辑工具工具栏。工具栏也可以根据用户的习惯和需求进行定义。</w:t>
      </w:r>
    </w:p>
    <w:p>
      <w:pPr>
        <w:ind w:firstLine="420" w:firstLineChars="200"/>
      </w:pPr>
    </w:p>
    <w:p>
      <w:pPr>
        <w:ind w:firstLine="420" w:firstLineChars="200"/>
        <w:rPr>
          <w:rFonts w:ascii="宋体" w:hAnsi="宋体" w:cs="微软雅黑"/>
        </w:rPr>
      </w:pPr>
      <w:r>
        <w:rPr>
          <w:rFonts w:hint="eastAsia"/>
        </w:rPr>
        <w:t>2. CAXA数控车自定</w:t>
      </w:r>
      <w:r>
        <w:rPr>
          <w:rFonts w:hint="eastAsia" w:ascii="宋体" w:hAnsi="宋体" w:cs="微软雅黑"/>
        </w:rPr>
        <w:t>义设置快捷键的具体步骤？</w:t>
      </w:r>
    </w:p>
    <w:p>
      <w:pPr>
        <w:ind w:firstLine="420" w:firstLineChars="200"/>
        <w:rPr>
          <w:rFonts w:ascii="宋体" w:hAnsi="宋体" w:cs="微软雅黑"/>
        </w:rPr>
      </w:pPr>
      <w:r>
        <w:rPr>
          <w:rFonts w:hint="eastAsia" w:ascii="宋体" w:hAnsi="宋体" w:cs="微软雅黑"/>
        </w:rPr>
        <w:t>答题要点：</w:t>
      </w:r>
    </w:p>
    <w:p>
      <w:pPr>
        <w:ind w:firstLine="420" w:firstLineChars="200"/>
      </w:pPr>
      <w:r>
        <w:rPr>
          <w:rFonts w:hint="eastAsia"/>
        </w:rPr>
        <w:t>为了便于操作者操作，通常可以设定快捷键进行相关的操作。在CAXA数控车中，操作者可根据自身需求进行设置快捷键。本节将以绘图工具栏中的直线绘制命令为例进行操作讲解，具体操作如下：</w:t>
      </w:r>
    </w:p>
    <w:p>
      <w:pPr>
        <w:ind w:firstLine="420" w:firstLineChars="200"/>
      </w:pPr>
      <w:r>
        <w:rPr>
          <w:rFonts w:hint="eastAsia"/>
        </w:rPr>
        <w:t>（1）点击CAXA数控车主菜单中的【工具】-【自定义操作】弹出自定义操作对话框。</w:t>
      </w:r>
    </w:p>
    <w:p>
      <w:pPr>
        <w:ind w:firstLine="420" w:firstLineChars="200"/>
      </w:pPr>
      <w:r>
        <w:rPr>
          <w:rFonts w:hint="eastAsia"/>
        </w:rPr>
        <w:t>（2）点击快捷键，弹出自定义快捷键对话框。</w:t>
      </w:r>
    </w:p>
    <w:p>
      <w:pPr>
        <w:ind w:firstLine="420" w:firstLineChars="200"/>
      </w:pPr>
      <w:r>
        <w:rPr>
          <w:rFonts w:hint="eastAsia"/>
        </w:rPr>
        <w:t>（3）点击快捷键对话框中的【类别】下拉光标，选定绘图命令，选定直线命令，显示默认快捷键为“Ctrl +L”，在新快捷键中输入“Shift +L”，并点按“指定”按钮，且将默认快捷键为“Ctrl +L”删除，。此时绘图工具栏中的直线快捷命令已被重新定义，即“Shift +L”为直线命令。</w:t>
      </w:r>
    </w:p>
    <w:p>
      <w:pPr>
        <w:ind w:firstLine="420" w:firstLineChars="200"/>
      </w:pPr>
      <w:r>
        <w:rPr>
          <w:rFonts w:hint="eastAsia"/>
        </w:rPr>
        <w:t>提示：如已经被定义的快捷键，重新第二次被定义是会有冲突提示，建议更换快捷键按钮。</w:t>
      </w:r>
    </w:p>
    <w:p>
      <w:pPr>
        <w:ind w:firstLine="420" w:firstLineChars="200"/>
        <w:rPr>
          <w:rFonts w:ascii="宋体" w:hAnsi="宋体" w:cs="微软雅黑"/>
        </w:rPr>
      </w:pPr>
    </w:p>
    <w:p>
      <w:pPr>
        <w:ind w:firstLine="420" w:firstLineChars="200"/>
        <w:rPr>
          <w:rFonts w:ascii="宋体" w:hAnsi="宋体" w:cs="微软雅黑"/>
        </w:rPr>
      </w:pPr>
    </w:p>
    <w:p>
      <w:pPr>
        <w:ind w:firstLine="420" w:firstLineChars="200"/>
        <w:rPr>
          <w:rFonts w:ascii="宋体" w:hAnsi="宋体" w:cs="微软雅黑"/>
        </w:rPr>
      </w:pPr>
    </w:p>
    <w:p>
      <w:pPr>
        <w:ind w:firstLine="420" w:firstLineChars="200"/>
        <w:rPr>
          <w:rFonts w:ascii="宋体" w:hAnsi="宋体" w:cs="微软雅黑"/>
        </w:rPr>
      </w:pPr>
      <w:r>
        <w:rPr>
          <w:rFonts w:hint="eastAsia"/>
        </w:rPr>
        <w:t>3.</w:t>
      </w:r>
      <w:r>
        <w:rPr>
          <w:rFonts w:hint="eastAsia" w:ascii="宋体" w:hAnsi="宋体" w:cs="微软雅黑"/>
        </w:rPr>
        <w:t xml:space="preserve"> 简述CAXA数控车机床设置的原因是什么？并举例说明一种典型数控系统机床的设置要素。</w:t>
      </w:r>
    </w:p>
    <w:p>
      <w:pPr>
        <w:ind w:firstLine="420" w:firstLineChars="200"/>
        <w:rPr>
          <w:rFonts w:ascii="宋体" w:hAnsi="宋体" w:cs="微软雅黑"/>
        </w:rPr>
      </w:pPr>
      <w:r>
        <w:rPr>
          <w:rFonts w:hint="eastAsia" w:ascii="宋体" w:hAnsi="宋体" w:cs="微软雅黑"/>
        </w:rPr>
        <w:t>答题要点：</w:t>
      </w:r>
    </w:p>
    <w:p>
      <w:pPr>
        <w:ind w:firstLine="420" w:firstLineChars="200"/>
        <w:rPr>
          <w:rFonts w:ascii="宋体" w:hAnsi="宋体" w:cs="微软雅黑"/>
        </w:rPr>
      </w:pPr>
      <w:r>
        <w:rPr>
          <w:rFonts w:hint="eastAsia" w:ascii="宋体" w:hAnsi="宋体" w:cs="微软雅黑"/>
        </w:rPr>
        <w:t>为使软件生成的G代码可以被操作者需求的数控系统直接使用，需对软件种的机床设置的某些参数进行修改，否则生成的G代码不能被机床所识别产生报警等。</w:t>
      </w:r>
    </w:p>
    <w:p>
      <w:pPr>
        <w:ind w:firstLine="420" w:firstLineChars="200"/>
        <w:rPr>
          <w:rFonts w:ascii="宋体" w:hAnsi="宋体" w:cs="微软雅黑"/>
        </w:rPr>
      </w:pPr>
      <w:r>
        <w:rPr>
          <w:rFonts w:hint="eastAsia" w:ascii="宋体" w:hAnsi="宋体" w:cs="微软雅黑"/>
        </w:rPr>
        <w:t>以FANUC数控系统为例需对机床设置的下列参数进行设置：</w:t>
      </w:r>
    </w:p>
    <w:p>
      <w:pPr>
        <w:spacing w:line="400" w:lineRule="exact"/>
        <w:ind w:firstLine="420" w:firstLineChars="200"/>
        <w:jc w:val="left"/>
      </w:pPr>
      <w:r>
        <w:rPr>
          <w:rFonts w:hint="eastAsia"/>
        </w:rPr>
        <w:t>CAXA数控车机床设置参数设置（FANUC数控系统）</w:t>
      </w:r>
    </w:p>
    <w:tbl>
      <w:tblPr>
        <w:tblStyle w:val="5"/>
        <w:tblW w:w="8694" w:type="dxa"/>
        <w:tblInd w:w="0"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68"/>
        <w:gridCol w:w="4313"/>
        <w:gridCol w:w="3013"/>
      </w:tblGrid>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1368" w:type="dxa"/>
            <w:tcBorders>
              <w:top w:val="single" w:color="auto" w:sz="4" w:space="0"/>
              <w:bottom w:val="single" w:color="auto" w:sz="4" w:space="0"/>
            </w:tcBorders>
          </w:tcPr>
          <w:p>
            <w:pPr>
              <w:spacing w:line="400" w:lineRule="exact"/>
              <w:jc w:val="left"/>
              <w:rPr>
                <w:rFonts w:ascii="宋体" w:hAnsi="宋体" w:cs="微软雅黑"/>
                <w:sz w:val="18"/>
                <w:szCs w:val="18"/>
              </w:rPr>
            </w:pPr>
            <w:r>
              <w:rPr>
                <w:rFonts w:hint="eastAsia" w:ascii="宋体" w:hAnsi="宋体" w:cs="微软雅黑"/>
                <w:sz w:val="18"/>
                <w:szCs w:val="18"/>
              </w:rPr>
              <w:t>项目</w:t>
            </w:r>
          </w:p>
        </w:tc>
        <w:tc>
          <w:tcPr>
            <w:tcW w:w="4313" w:type="dxa"/>
            <w:tcBorders>
              <w:top w:val="single" w:color="auto" w:sz="4" w:space="0"/>
              <w:bottom w:val="single" w:color="auto" w:sz="4" w:space="0"/>
            </w:tcBorders>
          </w:tcPr>
          <w:p>
            <w:pPr>
              <w:spacing w:line="400" w:lineRule="exact"/>
              <w:jc w:val="left"/>
              <w:rPr>
                <w:rFonts w:ascii="宋体" w:hAnsi="宋体" w:cs="微软雅黑"/>
                <w:sz w:val="18"/>
                <w:szCs w:val="18"/>
              </w:rPr>
            </w:pPr>
            <w:r>
              <w:rPr>
                <w:rFonts w:hint="eastAsia" w:ascii="宋体" w:hAnsi="宋体" w:cs="微软雅黑"/>
                <w:sz w:val="18"/>
                <w:szCs w:val="18"/>
              </w:rPr>
              <w:t>默认设置值</w:t>
            </w:r>
          </w:p>
        </w:tc>
        <w:tc>
          <w:tcPr>
            <w:tcW w:w="3013" w:type="dxa"/>
            <w:tcBorders>
              <w:top w:val="single" w:color="auto" w:sz="4" w:space="0"/>
              <w:bottom w:val="single" w:color="auto" w:sz="4" w:space="0"/>
            </w:tcBorders>
          </w:tcPr>
          <w:p>
            <w:pPr>
              <w:spacing w:line="400" w:lineRule="exact"/>
              <w:jc w:val="left"/>
              <w:rPr>
                <w:rFonts w:ascii="宋体" w:hAnsi="宋体" w:cs="微软雅黑"/>
                <w:sz w:val="18"/>
                <w:szCs w:val="18"/>
              </w:rPr>
            </w:pPr>
            <w:r>
              <w:rPr>
                <w:rFonts w:hint="eastAsia" w:ascii="宋体" w:hAnsi="宋体" w:cs="微软雅黑"/>
                <w:sz w:val="18"/>
                <w:szCs w:val="18"/>
              </w:rPr>
              <w:t>更改设置值</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1368" w:type="dxa"/>
            <w:tcBorders>
              <w:top w:val="single" w:color="auto" w:sz="4" w:space="0"/>
            </w:tcBorders>
          </w:tcPr>
          <w:p>
            <w:pPr>
              <w:spacing w:line="400" w:lineRule="exact"/>
              <w:jc w:val="left"/>
              <w:rPr>
                <w:rFonts w:ascii="宋体" w:hAnsi="宋体" w:cs="微软雅黑"/>
                <w:sz w:val="18"/>
                <w:szCs w:val="18"/>
              </w:rPr>
            </w:pPr>
            <w:r>
              <w:rPr>
                <w:rFonts w:hint="eastAsia" w:ascii="宋体" w:hAnsi="宋体" w:cs="微软雅黑"/>
                <w:sz w:val="18"/>
                <w:szCs w:val="18"/>
              </w:rPr>
              <w:t>说明</w:t>
            </w:r>
          </w:p>
        </w:tc>
        <w:tc>
          <w:tcPr>
            <w:tcW w:w="4313" w:type="dxa"/>
            <w:tcBorders>
              <w:top w:val="single" w:color="auto" w:sz="4" w:space="0"/>
            </w:tcBorders>
          </w:tcPr>
          <w:p>
            <w:pPr>
              <w:jc w:val="left"/>
              <w:rPr>
                <w:rFonts w:ascii="宋体" w:hAnsi="宋体"/>
                <w:sz w:val="18"/>
                <w:szCs w:val="18"/>
              </w:rPr>
            </w:pPr>
            <w:r>
              <w:rPr>
                <w:rFonts w:hint="eastAsia" w:ascii="宋体" w:hAnsi="宋体"/>
                <w:sz w:val="18"/>
                <w:szCs w:val="18"/>
              </w:rPr>
              <w:t>O $POST_CODE @( $POST_NAME , $POST_DATE , $POST_TIME )</w:t>
            </w:r>
          </w:p>
        </w:tc>
        <w:tc>
          <w:tcPr>
            <w:tcW w:w="3013" w:type="dxa"/>
            <w:tcBorders>
              <w:top w:val="single" w:color="auto" w:sz="4" w:space="0"/>
            </w:tcBorders>
          </w:tcPr>
          <w:p>
            <w:pPr>
              <w:jc w:val="left"/>
              <w:rPr>
                <w:rFonts w:ascii="宋体" w:hAnsi="宋体"/>
                <w:sz w:val="18"/>
                <w:szCs w:val="18"/>
              </w:rPr>
            </w:pPr>
            <w:r>
              <w:rPr>
                <w:rFonts w:hint="eastAsia" w:ascii="宋体" w:hAnsi="宋体"/>
                <w:sz w:val="18"/>
                <w:szCs w:val="18"/>
              </w:rPr>
              <w:t>O1234</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1368" w:type="dxa"/>
          </w:tcPr>
          <w:p>
            <w:pPr>
              <w:spacing w:line="400" w:lineRule="exact"/>
              <w:jc w:val="left"/>
              <w:rPr>
                <w:rFonts w:ascii="宋体" w:hAnsi="宋体" w:cs="微软雅黑"/>
                <w:sz w:val="18"/>
                <w:szCs w:val="18"/>
              </w:rPr>
            </w:pPr>
            <w:r>
              <w:rPr>
                <w:rFonts w:hint="eastAsia" w:ascii="宋体" w:hAnsi="宋体" w:cs="微软雅黑"/>
                <w:sz w:val="18"/>
                <w:szCs w:val="18"/>
              </w:rPr>
              <w:t>程序头</w:t>
            </w:r>
          </w:p>
        </w:tc>
        <w:tc>
          <w:tcPr>
            <w:tcW w:w="4313" w:type="dxa"/>
          </w:tcPr>
          <w:p>
            <w:pPr>
              <w:jc w:val="left"/>
              <w:rPr>
                <w:rFonts w:ascii="宋体" w:hAnsi="宋体"/>
                <w:sz w:val="18"/>
                <w:szCs w:val="18"/>
              </w:rPr>
            </w:pPr>
            <w:r>
              <w:rPr>
                <w:rFonts w:hint="eastAsia" w:ascii="宋体" w:hAnsi="宋体"/>
                <w:sz w:val="18"/>
                <w:szCs w:val="18"/>
              </w:rPr>
              <w:t>$G50 $ $SPN_F $MAX_SPN_SPEED @G00 $ $IF_CONST_VC $ $SPN_F $CONST_VC $ $CHANGE_TOOL $TOOL_NO $COMP_NO@$SPN_CW@$COOL_ON</w:t>
            </w:r>
          </w:p>
        </w:tc>
        <w:tc>
          <w:tcPr>
            <w:tcW w:w="3013" w:type="dxa"/>
          </w:tcPr>
          <w:p>
            <w:pPr>
              <w:jc w:val="left"/>
              <w:rPr>
                <w:rFonts w:ascii="宋体" w:hAnsi="宋体"/>
                <w:sz w:val="18"/>
                <w:szCs w:val="18"/>
              </w:rPr>
            </w:pPr>
            <w:r>
              <w:rPr>
                <w:rFonts w:hint="eastAsia" w:ascii="宋体" w:hAnsi="宋体"/>
                <w:sz w:val="18"/>
                <w:szCs w:val="18"/>
              </w:rPr>
              <w:t>$CHANGE_TOOL $TOOL_NO $COMP_NO @$SPN_CW $SPN_F $CONST_VC@$COOL_ON</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1368" w:type="dxa"/>
          </w:tcPr>
          <w:p>
            <w:pPr>
              <w:spacing w:line="400" w:lineRule="exact"/>
              <w:jc w:val="left"/>
              <w:rPr>
                <w:rFonts w:ascii="宋体" w:hAnsi="宋体" w:cs="微软雅黑"/>
                <w:sz w:val="18"/>
                <w:szCs w:val="18"/>
              </w:rPr>
            </w:pPr>
            <w:r>
              <w:rPr>
                <w:rFonts w:hint="eastAsia" w:ascii="宋体" w:hAnsi="宋体" w:cs="微软雅黑"/>
                <w:sz w:val="18"/>
                <w:szCs w:val="18"/>
              </w:rPr>
              <w:t>换刀</w:t>
            </w:r>
          </w:p>
        </w:tc>
        <w:tc>
          <w:tcPr>
            <w:tcW w:w="4313" w:type="dxa"/>
          </w:tcPr>
          <w:p>
            <w:pPr>
              <w:jc w:val="left"/>
              <w:rPr>
                <w:rFonts w:ascii="宋体" w:hAnsi="宋体"/>
                <w:sz w:val="18"/>
                <w:szCs w:val="18"/>
              </w:rPr>
            </w:pPr>
            <w:r>
              <w:rPr>
                <w:rFonts w:hint="eastAsia" w:ascii="宋体" w:hAnsi="宋体"/>
                <w:sz w:val="18"/>
                <w:szCs w:val="18"/>
              </w:rPr>
              <w:t>M01@ $G50 $ $SPN_F $MAX_SPN_SPEED @G00 $ $IF_CONST_VC $ $SPN_F $CONST_VC $ $CHANGE_TOOL $TOOL_NO $COMP_NO@$SPN_CW@$COOL_ON</w:t>
            </w:r>
          </w:p>
        </w:tc>
        <w:tc>
          <w:tcPr>
            <w:tcW w:w="3013" w:type="dxa"/>
          </w:tcPr>
          <w:p>
            <w:pPr>
              <w:jc w:val="left"/>
              <w:rPr>
                <w:rFonts w:ascii="宋体" w:hAnsi="宋体"/>
                <w:sz w:val="18"/>
                <w:szCs w:val="18"/>
              </w:rPr>
            </w:pPr>
            <w:r>
              <w:rPr>
                <w:rFonts w:hint="eastAsia" w:ascii="宋体" w:hAnsi="宋体"/>
                <w:sz w:val="18"/>
                <w:szCs w:val="18"/>
              </w:rPr>
              <w:t>$CHANGE_TOOL $TOOL_NO $COMP_NO @$SPN_CW $SPN_F $CONST_VC</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1368" w:type="dxa"/>
          </w:tcPr>
          <w:p>
            <w:pPr>
              <w:spacing w:line="400" w:lineRule="exact"/>
              <w:jc w:val="left"/>
              <w:rPr>
                <w:rFonts w:ascii="宋体" w:hAnsi="宋体" w:cs="微软雅黑"/>
                <w:sz w:val="18"/>
                <w:szCs w:val="18"/>
              </w:rPr>
            </w:pPr>
            <w:r>
              <w:rPr>
                <w:rFonts w:hint="eastAsia" w:ascii="宋体" w:hAnsi="宋体" w:cs="微软雅黑"/>
                <w:sz w:val="18"/>
                <w:szCs w:val="18"/>
              </w:rPr>
              <w:t>程序尾</w:t>
            </w:r>
          </w:p>
        </w:tc>
        <w:tc>
          <w:tcPr>
            <w:tcW w:w="4313" w:type="dxa"/>
          </w:tcPr>
          <w:p>
            <w:pPr>
              <w:jc w:val="left"/>
              <w:rPr>
                <w:rFonts w:ascii="宋体" w:hAnsi="宋体"/>
                <w:sz w:val="18"/>
                <w:szCs w:val="18"/>
              </w:rPr>
            </w:pPr>
            <w:r>
              <w:rPr>
                <w:rFonts w:hint="eastAsia" w:ascii="宋体" w:hAnsi="宋体"/>
                <w:sz w:val="18"/>
                <w:szCs w:val="18"/>
              </w:rPr>
              <w:t>$COOL_OFF@$PRO_STOP</w:t>
            </w:r>
          </w:p>
        </w:tc>
        <w:tc>
          <w:tcPr>
            <w:tcW w:w="3013" w:type="dxa"/>
          </w:tcPr>
          <w:p>
            <w:pPr>
              <w:jc w:val="left"/>
              <w:rPr>
                <w:rFonts w:ascii="宋体" w:hAnsi="宋体"/>
                <w:sz w:val="18"/>
                <w:szCs w:val="18"/>
              </w:rPr>
            </w:pPr>
            <w:r>
              <w:rPr>
                <w:rFonts w:hint="eastAsia" w:ascii="宋体" w:hAnsi="宋体"/>
                <w:sz w:val="18"/>
                <w:szCs w:val="18"/>
              </w:rPr>
              <w:t>$COOL_OFF@$PRO_STOP</w:t>
            </w:r>
          </w:p>
        </w:tc>
      </w:tr>
    </w:tbl>
    <w:p>
      <w:pPr>
        <w:ind w:firstLine="420" w:firstLineChars="200"/>
        <w:rPr>
          <w:rFonts w:ascii="宋体" w:hAnsi="宋体" w:cs="微软雅黑"/>
        </w:rPr>
      </w:pPr>
    </w:p>
    <w:p>
      <w:pPr>
        <w:ind w:firstLine="420" w:firstLineChars="200"/>
        <w:rPr>
          <w:rFonts w:ascii="宋体" w:hAnsi="宋体" w:cs="微软雅黑"/>
        </w:rPr>
      </w:pPr>
    </w:p>
    <w:p>
      <w:pPr>
        <w:ind w:firstLine="420" w:firstLineChars="200"/>
        <w:rPr>
          <w:rFonts w:ascii="宋体" w:hAnsi="宋体" w:cs="微软雅黑"/>
        </w:rPr>
      </w:pPr>
    </w:p>
    <w:p>
      <w:pPr>
        <w:ind w:firstLine="420" w:firstLineChars="200"/>
      </w:pPr>
      <w:r>
        <w:rPr>
          <w:rFonts w:hint="eastAsia"/>
        </w:rPr>
        <w:t>4. 试分析CAXA数控车的程序如何传输至数控车床设备中，并简述几种不同传输方式的优缺点？</w:t>
      </w:r>
    </w:p>
    <w:p>
      <w:pPr>
        <w:ind w:firstLine="420" w:firstLineChars="200"/>
      </w:pPr>
      <w:r>
        <w:rPr>
          <w:rFonts w:hint="eastAsia"/>
        </w:rPr>
        <w:t>答题要点：</w:t>
      </w:r>
    </w:p>
    <w:p>
      <w:pPr>
        <w:ind w:firstLine="435"/>
      </w:pPr>
      <w:r>
        <w:rPr>
          <w:rFonts w:hint="eastAsia"/>
        </w:rPr>
        <w:t>常见的程序传输主要有三种：RS232接口传输、CF卡传输、通过</w:t>
      </w:r>
      <w:r>
        <w:fldChar w:fldCharType="begin"/>
      </w:r>
      <w:r>
        <w:instrText xml:space="preserve"> HYPERLINK "https://www.baidu.com/s?wd=%E7%BD%91%E7%BB%9C%E6%8E%A5%E5%8F%A3&amp;tn=SE_PcZhidaonwhc_ngpagmjz&amp;rsv_dl=gh_pc_zhidao" \t "_blank" </w:instrText>
      </w:r>
      <w:r>
        <w:fldChar w:fldCharType="separate"/>
      </w:r>
      <w:r>
        <w:rPr>
          <w:rFonts w:hint="eastAsia"/>
        </w:rPr>
        <w:t>网络接口</w:t>
      </w:r>
      <w:r>
        <w:rPr>
          <w:rFonts w:hint="eastAsia"/>
        </w:rPr>
        <w:fldChar w:fldCharType="end"/>
      </w:r>
      <w:r>
        <w:rPr>
          <w:rFonts w:hint="eastAsia"/>
        </w:rPr>
        <w:t>,用网线传输.；</w:t>
      </w:r>
    </w:p>
    <w:p>
      <w:pPr>
        <w:ind w:firstLine="435"/>
      </w:pPr>
      <w:r>
        <w:rPr>
          <w:rFonts w:hint="eastAsia"/>
        </w:rPr>
        <w:t>RS232接口传输：需要在机床旁边放置电脑，通过波特率、COM口等设定利用RS322接口进行数据传输，该传输受到数据线长度影响，对程序传输的质量具有一定约束。</w:t>
      </w:r>
    </w:p>
    <w:p>
      <w:pPr>
        <w:ind w:firstLine="435"/>
      </w:pPr>
      <w:r>
        <w:rPr>
          <w:rFonts w:hint="eastAsia"/>
        </w:rPr>
        <w:t>CF卡传输：这种传输方式相对稳定可靠，但程序容量受CF卡容量、机床系统容量制约，一般而言传输的程序相对较小。</w:t>
      </w:r>
    </w:p>
    <w:p>
      <w:pPr>
        <w:ind w:firstLine="435"/>
      </w:pPr>
      <w:r>
        <w:fldChar w:fldCharType="begin"/>
      </w:r>
      <w:r>
        <w:instrText xml:space="preserve"> HYPERLINK "https://www.baidu.com/s?wd=%E7%BD%91%E7%BB%9C%E6%8E%A5%E5%8F%A3&amp;tn=SE_PcZhidaonwhc_ngpagmjz&amp;rsv_dl=gh_pc_zhidao" \t "_blank" </w:instrText>
      </w:r>
      <w:r>
        <w:fldChar w:fldCharType="separate"/>
      </w:r>
      <w:r>
        <w:rPr>
          <w:rFonts w:hint="eastAsia"/>
        </w:rPr>
        <w:t>网络接口</w:t>
      </w:r>
      <w:r>
        <w:rPr>
          <w:rFonts w:hint="eastAsia"/>
        </w:rPr>
        <w:fldChar w:fldCharType="end"/>
      </w:r>
      <w:r>
        <w:rPr>
          <w:rFonts w:hint="eastAsia"/>
        </w:rPr>
        <w:t>传输：这种传输方式相对较为先进，不受空间制约，但需视根据机床配置情况而定，部分老旧的数控机床不支持该功能。</w:t>
      </w:r>
    </w:p>
    <w:p/>
    <w:p/>
    <w:p/>
    <w:p/>
    <w:p/>
    <w:p/>
    <w:p/>
    <w:p/>
    <w:p/>
    <w:p/>
    <w:p/>
    <w:p/>
    <w:p/>
    <w:p/>
    <w:p/>
    <w:p/>
    <w:p/>
    <w:p/>
    <w:p/>
    <w:p/>
    <w:p/>
    <w:p/>
    <w:p/>
    <w:p/>
    <w:p>
      <w:pPr>
        <w:jc w:val="center"/>
        <w:rPr>
          <w:rFonts w:hint="eastAsia"/>
          <w:b/>
          <w:bCs/>
        </w:rPr>
      </w:pPr>
      <w:bookmarkStart w:id="1" w:name="_Toc18165995"/>
      <w:r>
        <w:rPr>
          <w:rFonts w:hint="eastAsia"/>
          <w:b/>
          <w:bCs/>
        </w:rPr>
        <w:t>第三章 CAXA数控车床轮廓造型及编辑</w:t>
      </w:r>
      <w:bookmarkEnd w:id="1"/>
    </w:p>
    <w:p>
      <w:pPr>
        <w:rPr>
          <w:rFonts w:ascii="宋体" w:hAnsi="宋体" w:cs="微软雅黑"/>
        </w:rPr>
      </w:pPr>
      <w:r>
        <w:rPr>
          <w:rFonts w:hint="eastAsia" w:ascii="宋体" w:hAnsi="宋体" w:cs="微软雅黑"/>
        </w:rPr>
        <w:t>作图题：</w:t>
      </w:r>
    </w:p>
    <w:p>
      <w:pPr>
        <w:rPr>
          <w:rFonts w:ascii="宋体" w:hAnsi="宋体" w:cs="微软雅黑"/>
        </w:rPr>
      </w:pPr>
      <w:r>
        <w:rPr>
          <w:rFonts w:hint="eastAsia" w:ascii="宋体" w:hAnsi="宋体" w:cs="微软雅黑"/>
        </w:rPr>
        <w:t>1. 绘制如图3-108所示的零件轮廓线，并进行尺寸标注。</w:t>
      </w:r>
    </w:p>
    <w:p>
      <w:pPr>
        <w:widowControl/>
        <w:jc w:val="left"/>
        <w:rPr>
          <w:rFonts w:ascii="宋体" w:hAnsi="宋体" w:cs="宋体"/>
          <w:kern w:val="0"/>
          <w:sz w:val="24"/>
          <w:szCs w:val="24"/>
        </w:rPr>
      </w:pPr>
      <w:r>
        <w:rPr>
          <w:rFonts w:ascii="宋体" w:hAnsi="宋体" w:cs="宋体"/>
          <w:kern w:val="0"/>
          <w:sz w:val="24"/>
          <w:szCs w:val="24"/>
        </w:rPr>
        <w:drawing>
          <wp:inline distT="0" distB="0" distL="0" distR="0">
            <wp:extent cx="1981200" cy="2590800"/>
            <wp:effectExtent l="0" t="0" r="0" b="0"/>
            <wp:docPr id="7" name="图片 7" descr="XE[{(SR$@CC2@Q5V7BBHD(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XE[{(SR$@CC2@Q5V7BBHD(L"/>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1981200" cy="2590800"/>
                    </a:xfrm>
                    <a:prstGeom prst="rect">
                      <a:avLst/>
                    </a:prstGeom>
                    <a:noFill/>
                    <a:ln>
                      <a:noFill/>
                    </a:ln>
                  </pic:spPr>
                </pic:pic>
              </a:graphicData>
            </a:graphic>
          </wp:inline>
        </w:drawing>
      </w:r>
    </w:p>
    <w:p>
      <w:pPr>
        <w:ind w:firstLine="630" w:firstLineChars="300"/>
        <w:rPr>
          <w:rFonts w:hint="eastAsia" w:ascii="宋体" w:hAnsi="宋体" w:cs="微软雅黑"/>
        </w:rPr>
      </w:pPr>
      <w:r>
        <w:rPr>
          <w:rFonts w:hint="eastAsia" w:ascii="宋体" w:hAnsi="宋体" w:cs="微软雅黑"/>
        </w:rPr>
        <w:t>图3-108 椭圆空心套</w:t>
      </w:r>
    </w:p>
    <w:p>
      <w:pPr>
        <w:ind w:firstLine="630" w:firstLineChars="300"/>
        <w:rPr>
          <w:rFonts w:hint="eastAsia" w:ascii="宋体" w:hAnsi="宋体" w:eastAsia="宋体" w:cs="微软雅黑"/>
          <w:lang w:val="en-US" w:eastAsia="zh-CN"/>
        </w:rPr>
      </w:pPr>
    </w:p>
    <w:p>
      <w:pPr>
        <w:ind w:firstLine="630" w:firstLineChars="300"/>
        <w:rPr>
          <w:rFonts w:hint="eastAsia" w:ascii="宋体" w:hAnsi="宋体" w:eastAsia="宋体" w:cs="微软雅黑"/>
          <w:lang w:val="en-US" w:eastAsia="zh-CN"/>
        </w:rPr>
      </w:pPr>
    </w:p>
    <w:p>
      <w:pPr>
        <w:rPr>
          <w:rFonts w:ascii="宋体" w:hAnsi="宋体" w:cs="微软雅黑"/>
        </w:rPr>
      </w:pPr>
      <w:r>
        <w:rPr>
          <w:rFonts w:hint="eastAsia" w:ascii="宋体" w:hAnsi="宋体" w:cs="微软雅黑"/>
        </w:rPr>
        <w:t xml:space="preserve"> 2. 绘制如图3-109所示的配合件零件轮廓线，并进行尺寸标注。</w:t>
      </w:r>
    </w:p>
    <w:p>
      <w:pPr>
        <w:widowControl/>
        <w:jc w:val="center"/>
        <w:rPr>
          <w:rFonts w:ascii="宋体" w:hAnsi="宋体" w:cs="宋体"/>
          <w:kern w:val="0"/>
          <w:sz w:val="24"/>
          <w:szCs w:val="24"/>
        </w:rPr>
      </w:pPr>
      <w:r>
        <w:rPr>
          <w:rFonts w:ascii="宋体" w:hAnsi="宋体" w:cs="宋体"/>
          <w:kern w:val="0"/>
          <w:sz w:val="24"/>
          <w:szCs w:val="24"/>
        </w:rPr>
        <w:drawing>
          <wp:inline distT="0" distB="0" distL="0" distR="0">
            <wp:extent cx="3686175" cy="1981200"/>
            <wp:effectExtent l="0" t="0" r="9525" b="0"/>
            <wp:docPr id="6" name="图片 6" descr="Z[LKO1C595_}UF$W1D78XG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Z[LKO1C595_}UF$W1D78XGU"/>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686175" cy="1981200"/>
                    </a:xfrm>
                    <a:prstGeom prst="rect">
                      <a:avLst/>
                    </a:prstGeom>
                    <a:noFill/>
                    <a:ln>
                      <a:noFill/>
                    </a:ln>
                  </pic:spPr>
                </pic:pic>
              </a:graphicData>
            </a:graphic>
          </wp:inline>
        </w:drawing>
      </w:r>
    </w:p>
    <w:p>
      <w:pPr>
        <w:jc w:val="center"/>
        <w:rPr>
          <w:rFonts w:ascii="宋体" w:hAnsi="宋体" w:cs="微软雅黑"/>
        </w:rPr>
      </w:pPr>
      <w:r>
        <w:rPr>
          <w:rFonts w:hint="eastAsia" w:ascii="宋体" w:hAnsi="宋体" w:cs="微软雅黑"/>
        </w:rPr>
        <w:t>a） 装配组合件-件1</w:t>
      </w:r>
    </w:p>
    <w:p>
      <w:pPr>
        <w:rPr>
          <w:rFonts w:ascii="宋体" w:hAnsi="宋体" w:cs="宋体"/>
          <w:kern w:val="0"/>
          <w:sz w:val="24"/>
          <w:szCs w:val="24"/>
        </w:rPr>
      </w:pPr>
      <w:r>
        <w:rPr>
          <w:rFonts w:ascii="宋体" w:hAnsi="宋体" w:cs="宋体"/>
          <w:kern w:val="0"/>
          <w:sz w:val="24"/>
          <w:szCs w:val="24"/>
        </w:rPr>
        <w:drawing>
          <wp:inline distT="0" distB="0" distL="0" distR="0">
            <wp:extent cx="1524000" cy="1981200"/>
            <wp:effectExtent l="0" t="0" r="0" b="0"/>
            <wp:docPr id="5" name="图片 5" descr="2BEGIIHP$1PSTT(M@G10X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2BEGIIHP$1PSTT(M@G10XIA"/>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524000" cy="1981200"/>
                    </a:xfrm>
                    <a:prstGeom prst="rect">
                      <a:avLst/>
                    </a:prstGeom>
                    <a:noFill/>
                    <a:ln>
                      <a:noFill/>
                    </a:ln>
                  </pic:spPr>
                </pic:pic>
              </a:graphicData>
            </a:graphic>
          </wp:inline>
        </w:drawing>
      </w:r>
      <w:r>
        <w:rPr>
          <w:rFonts w:hint="eastAsia" w:ascii="宋体" w:hAnsi="宋体" w:cs="宋体"/>
          <w:kern w:val="0"/>
          <w:sz w:val="24"/>
          <w:szCs w:val="24"/>
        </w:rPr>
        <w:t xml:space="preserve">   </w:t>
      </w:r>
      <w:r>
        <w:rPr>
          <w:rFonts w:ascii="宋体" w:hAnsi="宋体" w:cs="宋体"/>
          <w:kern w:val="0"/>
          <w:sz w:val="24"/>
          <w:szCs w:val="24"/>
        </w:rPr>
        <w:drawing>
          <wp:inline distT="0" distB="0" distL="0" distR="0">
            <wp:extent cx="1714500" cy="1438275"/>
            <wp:effectExtent l="0" t="0" r="0" b="9525"/>
            <wp:docPr id="4" name="图片 4" descr="P~21JZ3}N{M0LIQWS))S}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P~21JZ3}N{M0LIQWS))S}R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714500" cy="1438275"/>
                    </a:xfrm>
                    <a:prstGeom prst="rect">
                      <a:avLst/>
                    </a:prstGeom>
                    <a:noFill/>
                    <a:ln>
                      <a:noFill/>
                    </a:ln>
                  </pic:spPr>
                </pic:pic>
              </a:graphicData>
            </a:graphic>
          </wp:inline>
        </w:drawing>
      </w:r>
      <w:r>
        <w:t xml:space="preserve"> </w:t>
      </w:r>
      <w:r>
        <w:rPr>
          <w:rFonts w:ascii="宋体" w:hAnsi="宋体" w:cs="宋体"/>
          <w:kern w:val="0"/>
          <w:sz w:val="24"/>
          <w:szCs w:val="24"/>
        </w:rPr>
        <w:drawing>
          <wp:inline distT="0" distB="0" distL="0" distR="0">
            <wp:extent cx="1466850" cy="1981200"/>
            <wp:effectExtent l="0" t="0" r="0" b="0"/>
            <wp:docPr id="3" name="图片 3" descr="NZ(S6GP8K29`EGKM4F6V(4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NZ(S6GP8K29`EGKM4F6V(4I"/>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66850" cy="1981200"/>
                    </a:xfrm>
                    <a:prstGeom prst="rect">
                      <a:avLst/>
                    </a:prstGeom>
                    <a:noFill/>
                    <a:ln>
                      <a:noFill/>
                    </a:ln>
                  </pic:spPr>
                </pic:pic>
              </a:graphicData>
            </a:graphic>
          </wp:inline>
        </w:drawing>
      </w:r>
    </w:p>
    <w:p>
      <w:pPr>
        <w:ind w:firstLine="315" w:firstLineChars="150"/>
        <w:rPr>
          <w:rFonts w:ascii="宋体" w:hAnsi="宋体" w:cs="微软雅黑"/>
        </w:rPr>
      </w:pPr>
      <w:r>
        <w:rPr>
          <w:rFonts w:hint="eastAsia" w:ascii="宋体" w:hAnsi="宋体" w:cs="微软雅黑"/>
        </w:rPr>
        <w:t>b）装配组合件-件2              c）装配组合件-件3       d）装配组合件-件3</w:t>
      </w:r>
    </w:p>
    <w:p>
      <w:pPr>
        <w:widowControl/>
        <w:jc w:val="center"/>
        <w:rPr>
          <w:rFonts w:ascii="宋体" w:hAnsi="宋体" w:cs="宋体"/>
          <w:kern w:val="0"/>
          <w:sz w:val="24"/>
          <w:szCs w:val="24"/>
        </w:rPr>
      </w:pPr>
      <w:r>
        <w:rPr>
          <w:rFonts w:ascii="宋体" w:hAnsi="宋体" w:cs="宋体"/>
          <w:kern w:val="0"/>
          <w:sz w:val="24"/>
          <w:szCs w:val="24"/>
        </w:rPr>
        <w:drawing>
          <wp:inline distT="0" distB="0" distL="0" distR="0">
            <wp:extent cx="4314825" cy="2705100"/>
            <wp:effectExtent l="0" t="0" r="9525" b="0"/>
            <wp:docPr id="2" name="图片 2" descr=")}AC9FGIO44FJY}I7122Q$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C9FGIO44FJY}I7122Q$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314825" cy="2705100"/>
                    </a:xfrm>
                    <a:prstGeom prst="rect">
                      <a:avLst/>
                    </a:prstGeom>
                    <a:noFill/>
                    <a:ln>
                      <a:noFill/>
                    </a:ln>
                  </pic:spPr>
                </pic:pic>
              </a:graphicData>
            </a:graphic>
          </wp:inline>
        </w:drawing>
      </w:r>
    </w:p>
    <w:p>
      <w:pPr>
        <w:jc w:val="center"/>
        <w:rPr>
          <w:rFonts w:ascii="宋体" w:hAnsi="宋体" w:cs="微软雅黑"/>
        </w:rPr>
      </w:pPr>
      <w:r>
        <w:rPr>
          <w:rFonts w:ascii="宋体" w:hAnsi="宋体" w:cs="微软雅黑"/>
        </w:rPr>
        <w:t>E</w:t>
      </w:r>
      <w:r>
        <w:rPr>
          <w:rFonts w:hint="eastAsia" w:ascii="宋体" w:hAnsi="宋体" w:cs="微软雅黑"/>
        </w:rPr>
        <w:t>） 装配组合件-组合</w:t>
      </w:r>
    </w:p>
    <w:p>
      <w:pPr>
        <w:ind w:firstLine="315" w:firstLineChars="150"/>
        <w:jc w:val="center"/>
        <w:rPr>
          <w:rFonts w:ascii="宋体" w:hAnsi="宋体" w:cs="微软雅黑"/>
        </w:rPr>
      </w:pPr>
      <w:r>
        <w:rPr>
          <w:rFonts w:hint="eastAsia" w:ascii="宋体" w:hAnsi="宋体" w:cs="微软雅黑"/>
        </w:rPr>
        <w:t>图3-109 组合装配件</w:t>
      </w:r>
    </w:p>
    <w:p>
      <w:pPr>
        <w:rPr>
          <w:rFonts w:ascii="宋体" w:hAnsi="宋体" w:cs="微软雅黑"/>
        </w:rPr>
      </w:pPr>
      <w:r>
        <w:rPr>
          <w:rFonts w:hint="eastAsia" w:ascii="宋体" w:hAnsi="宋体" w:cs="微软雅黑"/>
        </w:rPr>
        <w:t>3.绘制如图3-110所示的零件轮廓线，并结合CAXA数控车轨迹生成所需对其内、外轮廓线的进退刀线、毛坯轮廓线、螺纹的进、退刀线进行补充，。</w:t>
      </w:r>
    </w:p>
    <w:p>
      <w:pPr>
        <w:widowControl/>
        <w:jc w:val="left"/>
        <w:rPr>
          <w:rFonts w:ascii="宋体" w:hAnsi="宋体" w:cs="宋体"/>
          <w:kern w:val="0"/>
          <w:sz w:val="24"/>
          <w:szCs w:val="24"/>
        </w:rPr>
      </w:pPr>
      <w:r>
        <w:rPr>
          <w:rFonts w:ascii="宋体" w:hAnsi="宋体" w:cs="宋体"/>
          <w:kern w:val="0"/>
          <w:sz w:val="24"/>
          <w:szCs w:val="24"/>
        </w:rPr>
        <w:drawing>
          <wp:inline distT="0" distB="0" distL="0" distR="0">
            <wp:extent cx="2705100" cy="1771650"/>
            <wp:effectExtent l="0" t="0" r="0" b="0"/>
            <wp:docPr id="1" name="图片 1" descr="}(T92R6H4BAC5QSHCT_BJP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T92R6H4BAC5QSHCT_BJP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705100" cy="1771650"/>
                    </a:xfrm>
                    <a:prstGeom prst="rect">
                      <a:avLst/>
                    </a:prstGeom>
                    <a:noFill/>
                    <a:ln>
                      <a:noFill/>
                    </a:ln>
                  </pic:spPr>
                </pic:pic>
              </a:graphicData>
            </a:graphic>
          </wp:inline>
        </w:drawing>
      </w:r>
    </w:p>
    <w:p>
      <w:pPr>
        <w:ind w:firstLine="840" w:firstLineChars="400"/>
        <w:rPr>
          <w:rFonts w:ascii="宋体" w:hAnsi="宋体" w:cs="微软雅黑"/>
        </w:rPr>
      </w:pPr>
      <w:r>
        <w:rPr>
          <w:rFonts w:hint="eastAsia" w:ascii="宋体" w:hAnsi="宋体" w:cs="微软雅黑"/>
        </w:rPr>
        <w:t>图3-110 传递轴</w:t>
      </w:r>
    </w:p>
    <w:p>
      <w:pPr>
        <w:ind w:firstLine="840" w:firstLineChars="400"/>
        <w:rPr>
          <w:rFonts w:hint="eastAsia" w:ascii="宋体" w:hAnsi="宋体" w:cs="微软雅黑"/>
        </w:rPr>
      </w:pPr>
    </w:p>
    <w:p>
      <w:pPr>
        <w:ind w:firstLine="840" w:firstLineChars="400"/>
        <w:rPr>
          <w:rFonts w:ascii="宋体" w:hAnsi="宋体" w:cs="微软雅黑"/>
        </w:rPr>
      </w:pPr>
    </w:p>
    <w:p>
      <w:pPr>
        <w:ind w:firstLine="840" w:firstLineChars="400"/>
        <w:rPr>
          <w:rFonts w:ascii="宋体" w:hAnsi="宋体" w:cs="微软雅黑"/>
        </w:rPr>
      </w:pPr>
    </w:p>
    <w:p>
      <w:pPr>
        <w:ind w:firstLine="840" w:firstLineChars="400"/>
        <w:rPr>
          <w:rFonts w:ascii="宋体" w:hAnsi="宋体" w:cs="微软雅黑"/>
        </w:rPr>
      </w:pPr>
    </w:p>
    <w:p>
      <w:pPr>
        <w:ind w:firstLine="840" w:firstLineChars="400"/>
        <w:rPr>
          <w:rFonts w:ascii="宋体" w:hAnsi="宋体" w:cs="微软雅黑"/>
        </w:rPr>
      </w:pPr>
    </w:p>
    <w:p>
      <w:pPr>
        <w:ind w:firstLine="840" w:firstLineChars="400"/>
        <w:rPr>
          <w:rFonts w:ascii="宋体" w:hAnsi="宋体" w:cs="微软雅黑"/>
        </w:rPr>
      </w:pPr>
    </w:p>
    <w:p>
      <w:pPr>
        <w:ind w:firstLine="840" w:firstLineChars="400"/>
        <w:rPr>
          <w:rFonts w:ascii="宋体" w:hAnsi="宋体" w:cs="微软雅黑"/>
        </w:rPr>
      </w:pPr>
    </w:p>
    <w:p>
      <w:pPr>
        <w:ind w:firstLine="840" w:firstLineChars="400"/>
        <w:rPr>
          <w:rFonts w:ascii="宋体" w:hAnsi="宋体" w:cs="微软雅黑"/>
        </w:rPr>
      </w:pPr>
    </w:p>
    <w:p>
      <w:pPr>
        <w:ind w:firstLine="840" w:firstLineChars="400"/>
        <w:rPr>
          <w:rFonts w:ascii="宋体" w:hAnsi="宋体" w:cs="微软雅黑"/>
        </w:rPr>
      </w:pPr>
    </w:p>
    <w:p>
      <w:pPr>
        <w:ind w:firstLine="840" w:firstLineChars="400"/>
        <w:rPr>
          <w:rFonts w:ascii="宋体" w:hAnsi="宋体" w:cs="微软雅黑"/>
        </w:rPr>
      </w:pPr>
    </w:p>
    <w:p>
      <w:pPr>
        <w:ind w:firstLine="840" w:firstLineChars="400"/>
        <w:rPr>
          <w:rFonts w:ascii="宋体" w:hAnsi="宋体" w:cs="微软雅黑"/>
        </w:rPr>
      </w:pPr>
    </w:p>
    <w:p>
      <w:pPr>
        <w:ind w:firstLine="840" w:firstLineChars="400"/>
        <w:rPr>
          <w:rFonts w:ascii="宋体" w:hAnsi="宋体" w:cs="微软雅黑"/>
        </w:rPr>
      </w:pPr>
    </w:p>
    <w:p>
      <w:pPr>
        <w:ind w:firstLine="840" w:firstLineChars="400"/>
        <w:rPr>
          <w:rFonts w:ascii="宋体" w:hAnsi="宋体" w:cs="微软雅黑"/>
        </w:rPr>
      </w:pPr>
    </w:p>
    <w:p>
      <w:pPr>
        <w:ind w:firstLine="840" w:firstLineChars="400"/>
        <w:rPr>
          <w:rFonts w:ascii="宋体" w:hAnsi="宋体" w:cs="微软雅黑"/>
        </w:rPr>
      </w:pPr>
    </w:p>
    <w:p>
      <w:pPr>
        <w:ind w:firstLine="840" w:firstLineChars="400"/>
        <w:rPr>
          <w:rFonts w:ascii="宋体" w:hAnsi="宋体" w:cs="微软雅黑"/>
        </w:rPr>
      </w:pPr>
    </w:p>
    <w:p>
      <w:pPr>
        <w:ind w:firstLine="840" w:firstLineChars="400"/>
        <w:rPr>
          <w:rFonts w:ascii="宋体" w:hAnsi="宋体" w:cs="微软雅黑"/>
        </w:rPr>
      </w:pPr>
    </w:p>
    <w:p>
      <w:pPr>
        <w:ind w:firstLine="840" w:firstLineChars="400"/>
        <w:rPr>
          <w:rFonts w:ascii="宋体" w:hAnsi="宋体" w:cs="微软雅黑"/>
        </w:rPr>
      </w:pPr>
    </w:p>
    <w:p>
      <w:pPr>
        <w:ind w:firstLine="840" w:firstLineChars="400"/>
        <w:rPr>
          <w:rFonts w:ascii="宋体" w:hAnsi="宋体" w:cs="微软雅黑"/>
        </w:rPr>
      </w:pPr>
    </w:p>
    <w:p>
      <w:pPr>
        <w:numPr>
          <w:ilvl w:val="0"/>
          <w:numId w:val="1"/>
        </w:numPr>
        <w:jc w:val="center"/>
        <w:rPr>
          <w:rFonts w:hint="eastAsia"/>
          <w:b/>
          <w:bCs/>
        </w:rPr>
      </w:pPr>
      <w:r>
        <w:rPr>
          <w:rFonts w:hint="eastAsia"/>
          <w:b/>
          <w:bCs/>
        </w:rPr>
        <w:t xml:space="preserve"> CAXA数控车车削路径生成及后处理</w:t>
      </w:r>
    </w:p>
    <w:p>
      <w:pPr>
        <w:numPr>
          <w:numId w:val="0"/>
        </w:numPr>
        <w:jc w:val="both"/>
        <w:rPr>
          <w:rFonts w:hint="eastAsia"/>
          <w:b/>
          <w:bCs/>
        </w:rPr>
      </w:pPr>
    </w:p>
    <w:p>
      <w:pPr>
        <w:ind w:firstLine="420"/>
        <w:jc w:val="left"/>
        <w:rPr>
          <w:rFonts w:hint="eastAsia" w:ascii="宋体" w:hAnsi="宋体" w:cs="宋体"/>
          <w:color w:val="000000"/>
        </w:rPr>
      </w:pPr>
      <w:r>
        <w:rPr>
          <w:rFonts w:hint="eastAsia" w:ascii="宋体" w:hAnsi="宋体" w:cs="宋体"/>
          <w:color w:val="000000"/>
        </w:rPr>
        <w:t>1.运用CAXA数控车对图4-89进行轮廓线绘制，并生成其外轮廓粗车、外轮廓精车的加工轨迹、生成FANUC数控系统的G代码。</w:t>
      </w:r>
    </w:p>
    <w:p>
      <w:pPr>
        <w:jc w:val="left"/>
        <w:rPr>
          <w:rFonts w:hint="eastAsia"/>
          <w:sz w:val="18"/>
          <w:szCs w:val="18"/>
        </w:rPr>
      </w:pPr>
      <w:r>
        <w:rPr>
          <w:rFonts w:hint="eastAsia"/>
          <w:sz w:val="18"/>
          <w:szCs w:val="18"/>
        </w:rPr>
        <w:drawing>
          <wp:inline distT="0" distB="0" distL="114300" distR="114300">
            <wp:extent cx="2310130" cy="1729740"/>
            <wp:effectExtent l="0" t="0" r="13970" b="3810"/>
            <wp:docPr id="11" name="图片 2" descr="QQ截图20190901181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descr="QQ截图20190901181625"/>
                    <pic:cNvPicPr>
                      <a:picLocks noChangeAspect="1"/>
                    </pic:cNvPicPr>
                  </pic:nvPicPr>
                  <pic:blipFill>
                    <a:blip r:embed="rId12"/>
                    <a:stretch>
                      <a:fillRect/>
                    </a:stretch>
                  </pic:blipFill>
                  <pic:spPr>
                    <a:xfrm>
                      <a:off x="0" y="0"/>
                      <a:ext cx="2310130" cy="1729740"/>
                    </a:xfrm>
                    <a:prstGeom prst="rect">
                      <a:avLst/>
                    </a:prstGeom>
                    <a:noFill/>
                    <a:ln>
                      <a:noFill/>
                    </a:ln>
                  </pic:spPr>
                </pic:pic>
              </a:graphicData>
            </a:graphic>
          </wp:inline>
        </w:drawing>
      </w:r>
    </w:p>
    <w:p>
      <w:pPr>
        <w:ind w:firstLine="900" w:firstLineChars="500"/>
        <w:jc w:val="left"/>
        <w:rPr>
          <w:sz w:val="18"/>
          <w:szCs w:val="18"/>
        </w:rPr>
      </w:pPr>
      <w:r>
        <w:rPr>
          <w:rFonts w:hint="eastAsia"/>
          <w:sz w:val="18"/>
          <w:szCs w:val="18"/>
        </w:rPr>
        <w:t>图4-89 简单球头轴</w:t>
      </w:r>
    </w:p>
    <w:p>
      <w:pPr>
        <w:ind w:firstLine="420" w:firstLineChars="200"/>
        <w:jc w:val="left"/>
        <w:rPr>
          <w:rFonts w:hint="eastAsia" w:ascii="宋体" w:hAnsi="宋体" w:cs="宋体"/>
          <w:color w:val="000000"/>
        </w:rPr>
      </w:pPr>
      <w:r>
        <w:rPr>
          <w:rFonts w:hint="eastAsia" w:ascii="宋体" w:hAnsi="宋体" w:cs="宋体"/>
          <w:color w:val="000000"/>
        </w:rPr>
        <w:t>2.运用CAXA数控车对图4-90进行轮廓线（含曲线）绘制，并生成其外轮廓粗车、外轮廓精车的加工轨迹、生成FANUC数控系统的G代码。</w:t>
      </w:r>
    </w:p>
    <w:p>
      <w:pPr>
        <w:jc w:val="left"/>
        <w:rPr>
          <w:rFonts w:hint="eastAsia" w:ascii="宋体" w:hAnsi="宋体" w:cs="宋体"/>
        </w:rPr>
      </w:pPr>
      <w:r>
        <w:rPr>
          <w:rFonts w:hint="eastAsia" w:ascii="宋体" w:hAnsi="宋体" w:cs="宋体"/>
        </w:rPr>
        <w:drawing>
          <wp:inline distT="0" distB="0" distL="114300" distR="114300">
            <wp:extent cx="2233930" cy="2084705"/>
            <wp:effectExtent l="0" t="0" r="13970" b="10795"/>
            <wp:docPr id="12" name="图片 3" descr="曲线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descr="曲线图"/>
                    <pic:cNvPicPr>
                      <a:picLocks noChangeAspect="1"/>
                    </pic:cNvPicPr>
                  </pic:nvPicPr>
                  <pic:blipFill>
                    <a:blip r:embed="rId13"/>
                    <a:stretch>
                      <a:fillRect/>
                    </a:stretch>
                  </pic:blipFill>
                  <pic:spPr>
                    <a:xfrm>
                      <a:off x="0" y="0"/>
                      <a:ext cx="2233930" cy="2084705"/>
                    </a:xfrm>
                    <a:prstGeom prst="rect">
                      <a:avLst/>
                    </a:prstGeom>
                    <a:noFill/>
                    <a:ln>
                      <a:noFill/>
                    </a:ln>
                  </pic:spPr>
                </pic:pic>
              </a:graphicData>
            </a:graphic>
          </wp:inline>
        </w:drawing>
      </w:r>
    </w:p>
    <w:p>
      <w:pPr>
        <w:ind w:firstLine="1050" w:firstLineChars="500"/>
        <w:jc w:val="left"/>
        <w:rPr>
          <w:rFonts w:ascii="宋体" w:hAnsi="宋体" w:cs="宋体"/>
        </w:rPr>
      </w:pPr>
      <w:r>
        <w:rPr>
          <w:rFonts w:hint="eastAsia" w:ascii="宋体" w:hAnsi="宋体" w:cs="宋体"/>
        </w:rPr>
        <w:t>图4-90  正弦曲线轴</w:t>
      </w:r>
    </w:p>
    <w:p>
      <w:pPr>
        <w:ind w:left="420"/>
        <w:jc w:val="left"/>
        <w:rPr>
          <w:rFonts w:hint="eastAsia" w:ascii="宋体" w:hAnsi="宋体" w:cs="宋体"/>
          <w:color w:val="000000"/>
        </w:rPr>
      </w:pPr>
      <w:r>
        <w:rPr>
          <w:rFonts w:hint="eastAsia" w:ascii="宋体" w:hAnsi="宋体" w:cs="宋体"/>
          <w:color w:val="000000"/>
        </w:rPr>
        <w:t>3.运用CAXA数控车对图4-91进行轮廓线绘制，制定其加工工艺，并生成与加工工艺对应的加工轨迹、生成FANUC数控系统的G代码。</w:t>
      </w:r>
    </w:p>
    <w:p>
      <w:pPr>
        <w:ind w:left="420"/>
        <w:jc w:val="left"/>
        <w:rPr>
          <w:rFonts w:hint="eastAsia" w:ascii="宋体" w:hAnsi="宋体" w:cs="宋体"/>
          <w:color w:val="FF0000"/>
        </w:rPr>
      </w:pPr>
      <w:r>
        <w:rPr>
          <w:rFonts w:hint="eastAsia" w:ascii="宋体" w:hAnsi="宋体" w:cs="宋体"/>
        </w:rPr>
        <w:drawing>
          <wp:inline distT="0" distB="0" distL="114300" distR="114300">
            <wp:extent cx="2757805" cy="2080260"/>
            <wp:effectExtent l="0" t="0" r="4445" b="15240"/>
            <wp:docPr id="13" name="图片 4" descr="QQ截图2019090118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descr="QQ截图20190901181539"/>
                    <pic:cNvPicPr>
                      <a:picLocks noChangeAspect="1"/>
                    </pic:cNvPicPr>
                  </pic:nvPicPr>
                  <pic:blipFill>
                    <a:blip r:embed="rId14"/>
                    <a:stretch>
                      <a:fillRect/>
                    </a:stretch>
                  </pic:blipFill>
                  <pic:spPr>
                    <a:xfrm>
                      <a:off x="0" y="0"/>
                      <a:ext cx="2757805" cy="2080260"/>
                    </a:xfrm>
                    <a:prstGeom prst="rect">
                      <a:avLst/>
                    </a:prstGeom>
                    <a:noFill/>
                    <a:ln>
                      <a:noFill/>
                    </a:ln>
                  </pic:spPr>
                </pic:pic>
              </a:graphicData>
            </a:graphic>
          </wp:inline>
        </w:drawing>
      </w:r>
    </w:p>
    <w:p>
      <w:pPr>
        <w:ind w:firstLine="2100" w:firstLineChars="1000"/>
        <w:jc w:val="left"/>
        <w:rPr>
          <w:rFonts w:ascii="宋体" w:hAnsi="宋体" w:cs="宋体"/>
        </w:rPr>
      </w:pPr>
      <w:r>
        <w:rPr>
          <w:rFonts w:hint="eastAsia" w:ascii="宋体" w:hAnsi="宋体" w:cs="宋体"/>
        </w:rPr>
        <w:t>图4-91 综合编程题</w:t>
      </w:r>
    </w:p>
    <w:p>
      <w:pPr>
        <w:numPr>
          <w:ilvl w:val="0"/>
          <w:numId w:val="1"/>
        </w:numPr>
        <w:ind w:left="0" w:leftChars="0" w:firstLine="0" w:firstLineChars="0"/>
        <w:jc w:val="center"/>
        <w:rPr>
          <w:rFonts w:hint="eastAsia"/>
          <w:b/>
          <w:bCs/>
        </w:rPr>
      </w:pPr>
      <w:bookmarkStart w:id="2" w:name="_GoBack"/>
      <w:bookmarkEnd w:id="2"/>
      <w:r>
        <w:rPr>
          <w:rFonts w:hint="eastAsia"/>
          <w:b/>
          <w:bCs/>
        </w:rPr>
        <w:t>数控车床的操作加工实例</w:t>
      </w:r>
    </w:p>
    <w:p>
      <w:pPr>
        <w:numPr>
          <w:numId w:val="0"/>
        </w:numPr>
        <w:ind w:leftChars="0"/>
        <w:jc w:val="both"/>
        <w:rPr>
          <w:rFonts w:hint="eastAsia"/>
          <w:b/>
          <w:bCs/>
        </w:rPr>
      </w:pPr>
    </w:p>
    <w:p>
      <w:pPr>
        <w:spacing w:before="156" w:beforeLines="50"/>
        <w:ind w:firstLine="420" w:firstLineChars="200"/>
      </w:pPr>
      <w:r>
        <w:rPr>
          <w:rFonts w:hint="eastAsia"/>
        </w:rPr>
        <w:t>1. 简述CAXA数控车与数控车床设备进行联机调试的整体流程。</w:t>
      </w:r>
    </w:p>
    <w:p>
      <w:pPr>
        <w:spacing w:before="156" w:beforeLines="50"/>
        <w:ind w:firstLine="420" w:firstLineChars="200"/>
      </w:pPr>
      <w:r>
        <w:rPr>
          <w:rFonts w:hint="eastAsia"/>
        </w:rPr>
        <w:t>答题要点：</w:t>
      </w:r>
    </w:p>
    <w:p>
      <w:pPr>
        <w:pStyle w:val="12"/>
        <w:numPr>
          <w:ilvl w:val="0"/>
          <w:numId w:val="2"/>
        </w:numPr>
        <w:spacing w:before="156" w:beforeLines="50"/>
        <w:ind w:firstLineChars="0"/>
      </w:pPr>
      <w:r>
        <w:rPr>
          <w:rFonts w:hint="eastAsia"/>
        </w:rPr>
        <w:t>零件图的分析、工艺的制定、刀具量具的选择；</w:t>
      </w:r>
    </w:p>
    <w:p>
      <w:pPr>
        <w:pStyle w:val="12"/>
        <w:numPr>
          <w:ilvl w:val="0"/>
          <w:numId w:val="2"/>
        </w:numPr>
        <w:spacing w:before="156" w:beforeLines="50"/>
        <w:ind w:firstLineChars="0"/>
      </w:pPr>
      <w:r>
        <w:rPr>
          <w:rFonts w:hint="eastAsia"/>
        </w:rPr>
        <w:t>CAXA数控车加工轮廓、毛坯轮廓的绘制及处理；</w:t>
      </w:r>
    </w:p>
    <w:p>
      <w:pPr>
        <w:pStyle w:val="12"/>
        <w:numPr>
          <w:ilvl w:val="0"/>
          <w:numId w:val="2"/>
        </w:numPr>
        <w:spacing w:before="156" w:beforeLines="50"/>
        <w:ind w:firstLineChars="0"/>
      </w:pPr>
      <w:r>
        <w:rPr>
          <w:rFonts w:hint="eastAsia"/>
        </w:rPr>
        <w:t>切削用量的选择、加工参数的设置；</w:t>
      </w:r>
    </w:p>
    <w:p>
      <w:pPr>
        <w:pStyle w:val="12"/>
        <w:numPr>
          <w:ilvl w:val="0"/>
          <w:numId w:val="2"/>
        </w:numPr>
        <w:spacing w:before="156" w:beforeLines="50"/>
        <w:ind w:firstLineChars="0"/>
      </w:pPr>
      <w:r>
        <w:rPr>
          <w:rFonts w:hint="eastAsia"/>
        </w:rPr>
        <w:t>机床设置参数的修改；</w:t>
      </w:r>
    </w:p>
    <w:p>
      <w:pPr>
        <w:pStyle w:val="12"/>
        <w:numPr>
          <w:ilvl w:val="0"/>
          <w:numId w:val="2"/>
        </w:numPr>
        <w:spacing w:before="156" w:beforeLines="50"/>
        <w:ind w:firstLineChars="0"/>
      </w:pPr>
      <w:r>
        <w:rPr>
          <w:rFonts w:hint="eastAsia"/>
        </w:rPr>
        <w:t>CAXA刀具轨迹的生成、进退刀点的设定；</w:t>
      </w:r>
    </w:p>
    <w:p>
      <w:pPr>
        <w:pStyle w:val="12"/>
        <w:numPr>
          <w:ilvl w:val="0"/>
          <w:numId w:val="2"/>
        </w:numPr>
        <w:spacing w:before="156" w:beforeLines="50"/>
        <w:ind w:firstLineChars="0"/>
      </w:pPr>
      <w:r>
        <w:rPr>
          <w:rFonts w:hint="eastAsia"/>
        </w:rPr>
        <w:t>生成G代码；</w:t>
      </w:r>
    </w:p>
    <w:p>
      <w:pPr>
        <w:pStyle w:val="12"/>
        <w:numPr>
          <w:ilvl w:val="0"/>
          <w:numId w:val="2"/>
        </w:numPr>
        <w:spacing w:before="156" w:beforeLines="50"/>
        <w:ind w:firstLineChars="0"/>
      </w:pPr>
      <w:r>
        <w:rPr>
          <w:rFonts w:hint="eastAsia"/>
        </w:rPr>
        <w:t>程序仿真模拟；</w:t>
      </w:r>
    </w:p>
    <w:p>
      <w:pPr>
        <w:pStyle w:val="12"/>
        <w:numPr>
          <w:ilvl w:val="0"/>
          <w:numId w:val="2"/>
        </w:numPr>
        <w:spacing w:before="156" w:beforeLines="50"/>
        <w:ind w:firstLineChars="0"/>
      </w:pPr>
      <w:r>
        <w:rPr>
          <w:rFonts w:hint="eastAsia"/>
        </w:rPr>
        <w:t>数控车床的基本操作、对刀等</w:t>
      </w:r>
    </w:p>
    <w:p>
      <w:pPr>
        <w:pStyle w:val="12"/>
        <w:numPr>
          <w:ilvl w:val="0"/>
          <w:numId w:val="2"/>
        </w:numPr>
        <w:spacing w:before="156" w:beforeLines="50"/>
        <w:ind w:firstLineChars="0"/>
      </w:pPr>
      <w:r>
        <w:rPr>
          <w:rFonts w:hint="eastAsia"/>
        </w:rPr>
        <w:t>数控程序的录入与仿真；</w:t>
      </w:r>
    </w:p>
    <w:p>
      <w:pPr>
        <w:spacing w:before="156" w:beforeLines="50"/>
        <w:ind w:left="420"/>
      </w:pPr>
      <w:r>
        <w:rPr>
          <w:rFonts w:hint="eastAsia"/>
        </w:rPr>
        <w:t>10：数控机床加工、精度检验与程序调试；</w:t>
      </w:r>
    </w:p>
    <w:p>
      <w:pPr>
        <w:spacing w:before="156" w:beforeLines="50"/>
        <w:ind w:firstLine="420" w:firstLineChars="200"/>
      </w:pPr>
      <w:r>
        <w:rPr>
          <w:rFonts w:hint="eastAsia"/>
        </w:rPr>
        <w:t>2. 简述图5-121所示零件图的加工工艺，并完成加工工艺卡的制定。</w:t>
      </w:r>
    </w:p>
    <w:p>
      <w:pPr>
        <w:widowControl/>
        <w:jc w:val="center"/>
        <w:rPr>
          <w:rFonts w:ascii="宋体" w:hAnsi="宋体" w:cs="宋体"/>
          <w:kern w:val="0"/>
          <w:sz w:val="24"/>
          <w:szCs w:val="24"/>
        </w:rPr>
      </w:pPr>
      <w:r>
        <w:rPr>
          <w:rFonts w:ascii="宋体" w:hAnsi="宋体" w:cs="宋体"/>
          <w:kern w:val="0"/>
          <w:sz w:val="24"/>
          <w:szCs w:val="24"/>
        </w:rPr>
        <w:drawing>
          <wp:inline distT="0" distB="0" distL="0" distR="0">
            <wp:extent cx="2781300" cy="1981200"/>
            <wp:effectExtent l="0" t="0" r="0" b="0"/>
            <wp:docPr id="9" name="图片 9" descr="Y$ED(H1S757Q$R6Y677{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Y$ED(H1S757Q$R6Y677{M$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2781300" cy="1981200"/>
                    </a:xfrm>
                    <a:prstGeom prst="rect">
                      <a:avLst/>
                    </a:prstGeom>
                    <a:noFill/>
                    <a:ln>
                      <a:noFill/>
                    </a:ln>
                  </pic:spPr>
                </pic:pic>
              </a:graphicData>
            </a:graphic>
          </wp:inline>
        </w:drawing>
      </w:r>
    </w:p>
    <w:p>
      <w:pPr>
        <w:widowControl/>
        <w:jc w:val="center"/>
        <w:rPr>
          <w:rFonts w:hint="eastAsia"/>
        </w:rPr>
      </w:pPr>
      <w:r>
        <w:rPr>
          <w:rFonts w:hint="eastAsia"/>
        </w:rPr>
        <w:t>图5-121 螺纹轴</w:t>
      </w:r>
    </w:p>
    <w:p>
      <w:pPr>
        <w:jc w:val="center"/>
        <w:rPr>
          <w:rFonts w:ascii="Calibri" w:hAnsi="Calibri"/>
        </w:rPr>
      </w:pPr>
      <w:r>
        <w:rPr>
          <w:rFonts w:hint="eastAsia" w:ascii="宋体" w:hAnsi="宋体"/>
        </w:rPr>
        <w:t>工艺表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276"/>
        <w:gridCol w:w="2835"/>
        <w:gridCol w:w="1130"/>
        <w:gridCol w:w="1516"/>
        <w:gridCol w:w="1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vAlign w:val="center"/>
          </w:tcPr>
          <w:p>
            <w:pPr>
              <w:spacing w:before="156" w:beforeLines="50"/>
              <w:jc w:val="center"/>
              <w:rPr>
                <w:rFonts w:ascii="宋体" w:hAnsi="宋体"/>
                <w:kern w:val="0"/>
                <w:sz w:val="18"/>
                <w:szCs w:val="18"/>
              </w:rPr>
            </w:pPr>
            <w:r>
              <w:rPr>
                <w:rFonts w:hint="eastAsia" w:ascii="宋体" w:hAnsi="宋体"/>
                <w:kern w:val="0"/>
                <w:sz w:val="18"/>
                <w:szCs w:val="18"/>
              </w:rPr>
              <w:t>序号</w:t>
            </w:r>
          </w:p>
        </w:tc>
        <w:tc>
          <w:tcPr>
            <w:tcW w:w="1276" w:type="dxa"/>
            <w:tcBorders>
              <w:top w:val="single" w:color="auto" w:sz="4" w:space="0"/>
              <w:left w:val="nil"/>
              <w:bottom w:val="single" w:color="auto" w:sz="4" w:space="0"/>
              <w:right w:val="single" w:color="auto" w:sz="4" w:space="0"/>
            </w:tcBorders>
            <w:vAlign w:val="center"/>
          </w:tcPr>
          <w:p>
            <w:pPr>
              <w:spacing w:before="156" w:beforeLines="50"/>
              <w:jc w:val="center"/>
              <w:rPr>
                <w:rFonts w:ascii="宋体" w:hAnsi="宋体"/>
                <w:kern w:val="0"/>
                <w:sz w:val="18"/>
                <w:szCs w:val="18"/>
              </w:rPr>
            </w:pPr>
            <w:r>
              <w:rPr>
                <w:rFonts w:hint="eastAsia" w:ascii="宋体" w:hAnsi="宋体"/>
                <w:kern w:val="0"/>
                <w:sz w:val="18"/>
                <w:szCs w:val="18"/>
              </w:rPr>
              <w:t>工步名称</w:t>
            </w:r>
          </w:p>
        </w:tc>
        <w:tc>
          <w:tcPr>
            <w:tcW w:w="2835" w:type="dxa"/>
            <w:tcBorders>
              <w:top w:val="single" w:color="auto" w:sz="4" w:space="0"/>
              <w:left w:val="nil"/>
              <w:bottom w:val="single" w:color="auto" w:sz="4" w:space="0"/>
              <w:right w:val="single" w:color="auto" w:sz="4" w:space="0"/>
            </w:tcBorders>
            <w:vAlign w:val="center"/>
          </w:tcPr>
          <w:p>
            <w:pPr>
              <w:spacing w:before="156" w:beforeLines="50"/>
              <w:jc w:val="center"/>
              <w:rPr>
                <w:rFonts w:ascii="宋体" w:hAnsi="宋体"/>
                <w:kern w:val="0"/>
                <w:sz w:val="18"/>
                <w:szCs w:val="18"/>
              </w:rPr>
            </w:pPr>
            <w:r>
              <w:rPr>
                <w:rFonts w:hint="eastAsia" w:ascii="宋体" w:hAnsi="宋体"/>
                <w:kern w:val="0"/>
                <w:sz w:val="18"/>
                <w:szCs w:val="18"/>
              </w:rPr>
              <w:t>工步内容</w:t>
            </w:r>
          </w:p>
        </w:tc>
        <w:tc>
          <w:tcPr>
            <w:tcW w:w="1130" w:type="dxa"/>
            <w:tcBorders>
              <w:top w:val="single" w:color="auto" w:sz="4" w:space="0"/>
              <w:left w:val="nil"/>
              <w:bottom w:val="single" w:color="auto" w:sz="4" w:space="0"/>
              <w:right w:val="single" w:color="auto" w:sz="4" w:space="0"/>
            </w:tcBorders>
            <w:vAlign w:val="center"/>
          </w:tcPr>
          <w:p>
            <w:pPr>
              <w:spacing w:before="156" w:beforeLines="50"/>
              <w:jc w:val="center"/>
              <w:rPr>
                <w:rFonts w:ascii="宋体" w:hAnsi="宋体"/>
                <w:kern w:val="0"/>
                <w:sz w:val="18"/>
                <w:szCs w:val="18"/>
              </w:rPr>
            </w:pPr>
            <w:r>
              <w:rPr>
                <w:rFonts w:hint="eastAsia" w:ascii="宋体" w:hAnsi="宋体"/>
                <w:kern w:val="0"/>
                <w:sz w:val="18"/>
                <w:szCs w:val="18"/>
              </w:rPr>
              <w:t>夹具</w:t>
            </w:r>
          </w:p>
        </w:tc>
        <w:tc>
          <w:tcPr>
            <w:tcW w:w="1516" w:type="dxa"/>
            <w:tcBorders>
              <w:top w:val="single" w:color="auto" w:sz="4" w:space="0"/>
              <w:left w:val="nil"/>
              <w:bottom w:val="single" w:color="auto" w:sz="4" w:space="0"/>
              <w:right w:val="single" w:color="auto" w:sz="4" w:space="0"/>
            </w:tcBorders>
            <w:vAlign w:val="center"/>
          </w:tcPr>
          <w:p>
            <w:pPr>
              <w:spacing w:before="156" w:beforeLines="50"/>
              <w:jc w:val="center"/>
              <w:rPr>
                <w:rFonts w:ascii="宋体" w:hAnsi="宋体"/>
                <w:kern w:val="0"/>
                <w:sz w:val="18"/>
                <w:szCs w:val="18"/>
              </w:rPr>
            </w:pPr>
            <w:r>
              <w:rPr>
                <w:rFonts w:hint="eastAsia" w:ascii="宋体" w:hAnsi="宋体"/>
                <w:kern w:val="0"/>
                <w:sz w:val="18"/>
                <w:szCs w:val="18"/>
              </w:rPr>
              <w:t>刀具</w:t>
            </w:r>
          </w:p>
        </w:tc>
        <w:tc>
          <w:tcPr>
            <w:tcW w:w="1326" w:type="dxa"/>
            <w:tcBorders>
              <w:top w:val="single" w:color="auto" w:sz="4" w:space="0"/>
              <w:left w:val="nil"/>
              <w:bottom w:val="single" w:color="auto" w:sz="4" w:space="0"/>
              <w:right w:val="single" w:color="auto" w:sz="4" w:space="0"/>
            </w:tcBorders>
            <w:vAlign w:val="center"/>
          </w:tcPr>
          <w:p>
            <w:pPr>
              <w:spacing w:before="156" w:beforeLines="50"/>
              <w:jc w:val="center"/>
              <w:rPr>
                <w:rFonts w:ascii="宋体" w:hAnsi="宋体"/>
                <w:kern w:val="0"/>
                <w:sz w:val="18"/>
                <w:szCs w:val="18"/>
              </w:rPr>
            </w:pPr>
            <w:r>
              <w:rPr>
                <w:rFonts w:hint="eastAsia" w:ascii="宋体" w:hAnsi="宋体"/>
                <w:kern w:val="0"/>
                <w:sz w:val="18"/>
                <w:szCs w:val="18"/>
              </w:rPr>
              <w:t>量具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tcPr>
          <w:p>
            <w:pPr>
              <w:spacing w:before="156" w:beforeLines="50"/>
              <w:jc w:val="center"/>
              <w:rPr>
                <w:rFonts w:ascii="宋体" w:hAnsi="宋体"/>
                <w:kern w:val="0"/>
                <w:sz w:val="18"/>
                <w:szCs w:val="18"/>
              </w:rPr>
            </w:pPr>
            <w:r>
              <w:rPr>
                <w:rFonts w:hint="eastAsia" w:ascii="宋体" w:hAnsi="宋体"/>
                <w:kern w:val="0"/>
                <w:sz w:val="18"/>
                <w:szCs w:val="18"/>
              </w:rPr>
              <w:t>1</w:t>
            </w:r>
          </w:p>
        </w:tc>
        <w:tc>
          <w:tcPr>
            <w:tcW w:w="1276" w:type="dxa"/>
            <w:tcBorders>
              <w:top w:val="single" w:color="auto" w:sz="4" w:space="0"/>
              <w:left w:val="nil"/>
              <w:bottom w:val="single" w:color="auto" w:sz="4" w:space="0"/>
              <w:right w:val="single" w:color="auto" w:sz="4" w:space="0"/>
            </w:tcBorders>
          </w:tcPr>
          <w:p>
            <w:pPr>
              <w:spacing w:before="156" w:beforeLines="50"/>
              <w:rPr>
                <w:rFonts w:ascii="宋体" w:hAnsi="宋体"/>
                <w:kern w:val="0"/>
                <w:sz w:val="18"/>
                <w:szCs w:val="18"/>
              </w:rPr>
            </w:pPr>
            <w:r>
              <w:rPr>
                <w:rFonts w:hint="eastAsia" w:ascii="宋体" w:hAnsi="宋体"/>
                <w:kern w:val="0"/>
                <w:sz w:val="18"/>
                <w:szCs w:val="18"/>
              </w:rPr>
              <w:t>车右端面</w:t>
            </w:r>
          </w:p>
        </w:tc>
        <w:tc>
          <w:tcPr>
            <w:tcW w:w="2835" w:type="dxa"/>
            <w:tcBorders>
              <w:top w:val="single" w:color="auto" w:sz="4" w:space="0"/>
              <w:left w:val="nil"/>
              <w:bottom w:val="single" w:color="auto" w:sz="4" w:space="0"/>
              <w:right w:val="single" w:color="auto" w:sz="4" w:space="0"/>
            </w:tcBorders>
          </w:tcPr>
          <w:p>
            <w:pPr>
              <w:spacing w:before="156" w:beforeLines="50"/>
              <w:rPr>
                <w:rFonts w:ascii="宋体" w:hAnsi="宋体"/>
                <w:kern w:val="0"/>
                <w:sz w:val="18"/>
                <w:szCs w:val="18"/>
              </w:rPr>
            </w:pPr>
            <w:r>
              <w:rPr>
                <w:rFonts w:hint="eastAsia" w:ascii="宋体" w:hAnsi="宋体"/>
                <w:kern w:val="0"/>
                <w:sz w:val="18"/>
                <w:szCs w:val="18"/>
              </w:rPr>
              <w:t>夹毛坯左端伸出50mm左右，车削毛坯右端面</w:t>
            </w:r>
          </w:p>
        </w:tc>
        <w:tc>
          <w:tcPr>
            <w:tcW w:w="1130" w:type="dxa"/>
            <w:tcBorders>
              <w:top w:val="single" w:color="auto" w:sz="4" w:space="0"/>
              <w:left w:val="nil"/>
              <w:bottom w:val="single" w:color="auto" w:sz="4" w:space="0"/>
              <w:right w:val="single" w:color="auto" w:sz="4" w:space="0"/>
            </w:tcBorders>
            <w:vAlign w:val="center"/>
          </w:tcPr>
          <w:p>
            <w:pPr>
              <w:widowControl/>
              <w:kinsoku w:val="0"/>
              <w:overflowPunct w:val="0"/>
              <w:jc w:val="center"/>
              <w:textAlignment w:val="center"/>
              <w:rPr>
                <w:rFonts w:ascii="宋体" w:hAnsi="宋体"/>
                <w:kern w:val="0"/>
                <w:sz w:val="18"/>
                <w:szCs w:val="18"/>
              </w:rPr>
            </w:pPr>
            <w:r>
              <w:rPr>
                <w:rFonts w:hint="eastAsia" w:ascii="宋体" w:hAnsi="宋体"/>
                <w:kern w:val="0"/>
                <w:sz w:val="18"/>
                <w:szCs w:val="18"/>
              </w:rPr>
              <w:t>三爪卡盘 </w:t>
            </w:r>
          </w:p>
        </w:tc>
        <w:tc>
          <w:tcPr>
            <w:tcW w:w="1516" w:type="dxa"/>
            <w:tcBorders>
              <w:top w:val="single" w:color="auto" w:sz="4" w:space="0"/>
              <w:left w:val="nil"/>
              <w:bottom w:val="single" w:color="auto" w:sz="4" w:space="0"/>
              <w:right w:val="single" w:color="auto" w:sz="4" w:space="0"/>
            </w:tcBorders>
            <w:vAlign w:val="center"/>
          </w:tcPr>
          <w:p>
            <w:pPr>
              <w:widowControl/>
              <w:kinsoku w:val="0"/>
              <w:overflowPunct w:val="0"/>
              <w:jc w:val="center"/>
              <w:textAlignment w:val="center"/>
              <w:rPr>
                <w:rFonts w:ascii="宋体" w:hAnsi="宋体"/>
                <w:kern w:val="0"/>
                <w:sz w:val="18"/>
                <w:szCs w:val="18"/>
              </w:rPr>
            </w:pPr>
            <w:r>
              <w:rPr>
                <w:rFonts w:hint="eastAsia" w:ascii="宋体" w:hAnsi="宋体"/>
                <w:kern w:val="0"/>
                <w:sz w:val="18"/>
                <w:szCs w:val="18"/>
              </w:rPr>
              <w:t>外圆车刀</w:t>
            </w:r>
          </w:p>
        </w:tc>
        <w:tc>
          <w:tcPr>
            <w:tcW w:w="1326" w:type="dxa"/>
            <w:tcBorders>
              <w:top w:val="single" w:color="auto" w:sz="4" w:space="0"/>
              <w:left w:val="nil"/>
              <w:bottom w:val="single" w:color="auto" w:sz="4" w:space="0"/>
              <w:right w:val="single" w:color="auto" w:sz="4" w:space="0"/>
            </w:tcBorders>
            <w:vAlign w:val="center"/>
          </w:tcPr>
          <w:p>
            <w:pPr>
              <w:widowControl/>
              <w:kinsoku w:val="0"/>
              <w:overflowPunct w:val="0"/>
              <w:jc w:val="center"/>
              <w:textAlignment w:val="center"/>
              <w:rPr>
                <w:rFonts w:ascii="宋体" w:hAnsi="宋体"/>
                <w:kern w:val="0"/>
                <w:sz w:val="18"/>
                <w:szCs w:val="18"/>
              </w:rPr>
            </w:pPr>
            <w:r>
              <w:rPr>
                <w:rFonts w:hint="eastAsia" w:ascii="宋体" w:hAnsi="宋体"/>
                <w:kern w:val="0"/>
                <w:sz w:val="18"/>
                <w:szCs w:val="18"/>
              </w:rPr>
              <w:t>钢直尺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tcPr>
          <w:p>
            <w:pPr>
              <w:spacing w:before="156" w:beforeLines="50"/>
              <w:jc w:val="center"/>
              <w:rPr>
                <w:rFonts w:ascii="宋体" w:hAnsi="宋体"/>
                <w:kern w:val="0"/>
                <w:sz w:val="18"/>
                <w:szCs w:val="18"/>
              </w:rPr>
            </w:pPr>
            <w:r>
              <w:rPr>
                <w:rFonts w:hint="eastAsia" w:ascii="宋体" w:hAnsi="宋体"/>
                <w:kern w:val="0"/>
                <w:sz w:val="18"/>
                <w:szCs w:val="18"/>
              </w:rPr>
              <w:t>2</w:t>
            </w:r>
          </w:p>
        </w:tc>
        <w:tc>
          <w:tcPr>
            <w:tcW w:w="1276" w:type="dxa"/>
            <w:tcBorders>
              <w:top w:val="single" w:color="auto" w:sz="4" w:space="0"/>
              <w:left w:val="nil"/>
              <w:bottom w:val="single" w:color="auto" w:sz="4" w:space="0"/>
              <w:right w:val="single" w:color="auto" w:sz="4" w:space="0"/>
            </w:tcBorders>
            <w:vAlign w:val="center"/>
          </w:tcPr>
          <w:p>
            <w:pPr>
              <w:widowControl/>
              <w:kinsoku w:val="0"/>
              <w:overflowPunct w:val="0"/>
              <w:jc w:val="center"/>
              <w:textAlignment w:val="center"/>
              <w:rPr>
                <w:rFonts w:ascii="宋体" w:hAnsi="宋体"/>
                <w:kern w:val="0"/>
                <w:sz w:val="18"/>
                <w:szCs w:val="18"/>
              </w:rPr>
            </w:pPr>
            <w:r>
              <w:rPr>
                <w:rFonts w:hint="eastAsia" w:ascii="宋体" w:hAnsi="宋体"/>
                <w:kern w:val="0"/>
                <w:sz w:val="18"/>
                <w:szCs w:val="18"/>
              </w:rPr>
              <w:t>粗车右端外形轮廓 </w:t>
            </w:r>
          </w:p>
        </w:tc>
        <w:tc>
          <w:tcPr>
            <w:tcW w:w="2835" w:type="dxa"/>
            <w:tcBorders>
              <w:top w:val="single" w:color="auto" w:sz="4" w:space="0"/>
              <w:left w:val="nil"/>
              <w:bottom w:val="single" w:color="auto" w:sz="4" w:space="0"/>
              <w:right w:val="single" w:color="auto" w:sz="4" w:space="0"/>
            </w:tcBorders>
            <w:vAlign w:val="center"/>
          </w:tcPr>
          <w:p>
            <w:pPr>
              <w:widowControl/>
              <w:kinsoku w:val="0"/>
              <w:overflowPunct w:val="0"/>
              <w:jc w:val="left"/>
              <w:textAlignment w:val="center"/>
              <w:rPr>
                <w:rFonts w:ascii="宋体" w:hAnsi="宋体"/>
                <w:kern w:val="0"/>
                <w:sz w:val="18"/>
                <w:szCs w:val="18"/>
              </w:rPr>
            </w:pPr>
            <w:r>
              <w:rPr>
                <w:rFonts w:hint="eastAsia" w:ascii="宋体" w:hAnsi="宋体"/>
                <w:kern w:val="0"/>
                <w:sz w:val="18"/>
                <w:szCs w:val="18"/>
              </w:rPr>
              <w:t>粗车右外圆轮廓留有0.5mm精加工余量 </w:t>
            </w:r>
          </w:p>
        </w:tc>
        <w:tc>
          <w:tcPr>
            <w:tcW w:w="1130" w:type="dxa"/>
            <w:tcBorders>
              <w:top w:val="single" w:color="auto" w:sz="4" w:space="0"/>
              <w:left w:val="nil"/>
              <w:bottom w:val="single" w:color="auto" w:sz="4" w:space="0"/>
              <w:right w:val="single" w:color="auto" w:sz="4" w:space="0"/>
            </w:tcBorders>
            <w:vAlign w:val="center"/>
          </w:tcPr>
          <w:p>
            <w:pPr>
              <w:widowControl/>
              <w:kinsoku w:val="0"/>
              <w:overflowPunct w:val="0"/>
              <w:jc w:val="center"/>
              <w:textAlignment w:val="center"/>
              <w:rPr>
                <w:rFonts w:ascii="宋体" w:hAnsi="宋体"/>
                <w:kern w:val="0"/>
                <w:sz w:val="18"/>
                <w:szCs w:val="18"/>
              </w:rPr>
            </w:pPr>
            <w:r>
              <w:rPr>
                <w:rFonts w:hint="eastAsia" w:ascii="宋体" w:hAnsi="宋体"/>
                <w:kern w:val="0"/>
                <w:sz w:val="18"/>
                <w:szCs w:val="18"/>
              </w:rPr>
              <w:t>三爪卡盘 </w:t>
            </w:r>
          </w:p>
        </w:tc>
        <w:tc>
          <w:tcPr>
            <w:tcW w:w="1516" w:type="dxa"/>
            <w:tcBorders>
              <w:top w:val="single" w:color="auto" w:sz="4" w:space="0"/>
              <w:left w:val="nil"/>
              <w:bottom w:val="single" w:color="auto" w:sz="4" w:space="0"/>
              <w:right w:val="single" w:color="auto" w:sz="4" w:space="0"/>
            </w:tcBorders>
            <w:vAlign w:val="center"/>
          </w:tcPr>
          <w:p>
            <w:pPr>
              <w:widowControl/>
              <w:kinsoku w:val="0"/>
              <w:overflowPunct w:val="0"/>
              <w:jc w:val="center"/>
              <w:textAlignment w:val="center"/>
              <w:rPr>
                <w:rFonts w:ascii="宋体" w:hAnsi="宋体"/>
                <w:kern w:val="0"/>
                <w:sz w:val="18"/>
                <w:szCs w:val="18"/>
              </w:rPr>
            </w:pPr>
            <w:r>
              <w:rPr>
                <w:rFonts w:hint="eastAsia" w:ascii="宋体" w:hAnsi="宋体"/>
                <w:kern w:val="0"/>
                <w:sz w:val="18"/>
                <w:szCs w:val="18"/>
              </w:rPr>
              <w:t>外圆车刀</w:t>
            </w:r>
          </w:p>
        </w:tc>
        <w:tc>
          <w:tcPr>
            <w:tcW w:w="1326" w:type="dxa"/>
            <w:tcBorders>
              <w:top w:val="single" w:color="auto" w:sz="4" w:space="0"/>
              <w:left w:val="nil"/>
              <w:bottom w:val="single" w:color="auto" w:sz="4" w:space="0"/>
              <w:right w:val="single" w:color="auto" w:sz="4" w:space="0"/>
            </w:tcBorders>
            <w:vAlign w:val="center"/>
          </w:tcPr>
          <w:p>
            <w:pPr>
              <w:widowControl/>
              <w:kinsoku w:val="0"/>
              <w:overflowPunct w:val="0"/>
              <w:jc w:val="center"/>
              <w:textAlignment w:val="center"/>
              <w:rPr>
                <w:rFonts w:ascii="宋体" w:hAnsi="宋体"/>
                <w:kern w:val="0"/>
                <w:sz w:val="18"/>
                <w:szCs w:val="18"/>
              </w:rPr>
            </w:pPr>
            <w:r>
              <w:rPr>
                <w:rFonts w:hint="eastAsia" w:ascii="宋体" w:hAnsi="宋体"/>
                <w:kern w:val="0"/>
                <w:sz w:val="18"/>
                <w:szCs w:val="18"/>
              </w:rPr>
              <w:t>外径千分尺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tcPr>
          <w:p>
            <w:pPr>
              <w:spacing w:before="156" w:beforeLines="50"/>
              <w:jc w:val="center"/>
              <w:rPr>
                <w:rFonts w:ascii="宋体" w:hAnsi="宋体"/>
                <w:kern w:val="0"/>
                <w:sz w:val="18"/>
                <w:szCs w:val="18"/>
              </w:rPr>
            </w:pPr>
            <w:r>
              <w:rPr>
                <w:rFonts w:hint="eastAsia" w:ascii="宋体" w:hAnsi="宋体"/>
                <w:kern w:val="0"/>
                <w:sz w:val="18"/>
                <w:szCs w:val="18"/>
              </w:rPr>
              <w:t>3</w:t>
            </w:r>
          </w:p>
        </w:tc>
        <w:tc>
          <w:tcPr>
            <w:tcW w:w="1276" w:type="dxa"/>
            <w:tcBorders>
              <w:top w:val="single" w:color="auto" w:sz="4" w:space="0"/>
              <w:left w:val="nil"/>
              <w:bottom w:val="single" w:color="auto" w:sz="4" w:space="0"/>
              <w:right w:val="single" w:color="auto" w:sz="4" w:space="0"/>
            </w:tcBorders>
            <w:vAlign w:val="center"/>
          </w:tcPr>
          <w:p>
            <w:pPr>
              <w:widowControl/>
              <w:kinsoku w:val="0"/>
              <w:overflowPunct w:val="0"/>
              <w:jc w:val="center"/>
              <w:textAlignment w:val="center"/>
              <w:rPr>
                <w:rFonts w:ascii="宋体" w:hAnsi="宋体"/>
                <w:kern w:val="0"/>
                <w:sz w:val="18"/>
                <w:szCs w:val="18"/>
              </w:rPr>
            </w:pPr>
            <w:r>
              <w:rPr>
                <w:rFonts w:hint="eastAsia" w:ascii="宋体" w:hAnsi="宋体"/>
                <w:kern w:val="0"/>
                <w:sz w:val="18"/>
                <w:szCs w:val="18"/>
              </w:rPr>
              <w:t>精车右端外形 </w:t>
            </w:r>
          </w:p>
        </w:tc>
        <w:tc>
          <w:tcPr>
            <w:tcW w:w="2835" w:type="dxa"/>
            <w:tcBorders>
              <w:top w:val="single" w:color="auto" w:sz="4" w:space="0"/>
              <w:left w:val="nil"/>
              <w:bottom w:val="single" w:color="auto" w:sz="4" w:space="0"/>
              <w:right w:val="single" w:color="auto" w:sz="4" w:space="0"/>
            </w:tcBorders>
            <w:vAlign w:val="center"/>
          </w:tcPr>
          <w:p>
            <w:pPr>
              <w:widowControl/>
              <w:kinsoku w:val="0"/>
              <w:overflowPunct w:val="0"/>
              <w:jc w:val="left"/>
              <w:textAlignment w:val="center"/>
              <w:rPr>
                <w:rFonts w:ascii="宋体" w:hAnsi="宋体"/>
                <w:kern w:val="0"/>
                <w:sz w:val="18"/>
                <w:szCs w:val="18"/>
              </w:rPr>
            </w:pPr>
            <w:r>
              <w:rPr>
                <w:rFonts w:hint="eastAsia" w:ascii="宋体" w:hAnsi="宋体"/>
                <w:kern w:val="0"/>
                <w:sz w:val="18"/>
                <w:szCs w:val="18"/>
              </w:rPr>
              <w:t>精车外圆轮廓至尺寸</w:t>
            </w:r>
          </w:p>
        </w:tc>
        <w:tc>
          <w:tcPr>
            <w:tcW w:w="1130" w:type="dxa"/>
            <w:tcBorders>
              <w:top w:val="single" w:color="auto" w:sz="4" w:space="0"/>
              <w:left w:val="nil"/>
              <w:bottom w:val="single" w:color="auto" w:sz="4" w:space="0"/>
              <w:right w:val="single" w:color="auto" w:sz="4" w:space="0"/>
            </w:tcBorders>
            <w:vAlign w:val="center"/>
          </w:tcPr>
          <w:p>
            <w:pPr>
              <w:widowControl/>
              <w:kinsoku w:val="0"/>
              <w:overflowPunct w:val="0"/>
              <w:jc w:val="center"/>
              <w:textAlignment w:val="center"/>
              <w:rPr>
                <w:rFonts w:ascii="宋体" w:hAnsi="宋体"/>
                <w:kern w:val="0"/>
                <w:sz w:val="18"/>
                <w:szCs w:val="18"/>
              </w:rPr>
            </w:pPr>
            <w:r>
              <w:rPr>
                <w:rFonts w:hint="eastAsia" w:ascii="宋体" w:hAnsi="宋体"/>
                <w:kern w:val="0"/>
                <w:sz w:val="18"/>
                <w:szCs w:val="18"/>
              </w:rPr>
              <w:t>三爪卡盘 </w:t>
            </w:r>
          </w:p>
        </w:tc>
        <w:tc>
          <w:tcPr>
            <w:tcW w:w="1516" w:type="dxa"/>
            <w:tcBorders>
              <w:top w:val="single" w:color="auto" w:sz="4" w:space="0"/>
              <w:left w:val="nil"/>
              <w:bottom w:val="single" w:color="auto" w:sz="4" w:space="0"/>
              <w:right w:val="single" w:color="auto" w:sz="4" w:space="0"/>
            </w:tcBorders>
            <w:vAlign w:val="center"/>
          </w:tcPr>
          <w:p>
            <w:pPr>
              <w:widowControl/>
              <w:kinsoku w:val="0"/>
              <w:overflowPunct w:val="0"/>
              <w:jc w:val="center"/>
              <w:textAlignment w:val="center"/>
              <w:rPr>
                <w:rFonts w:ascii="宋体" w:hAnsi="宋体"/>
                <w:kern w:val="0"/>
                <w:sz w:val="18"/>
                <w:szCs w:val="18"/>
              </w:rPr>
            </w:pPr>
            <w:r>
              <w:rPr>
                <w:rFonts w:hint="eastAsia" w:ascii="宋体" w:hAnsi="宋体"/>
                <w:kern w:val="0"/>
                <w:sz w:val="18"/>
                <w:szCs w:val="18"/>
              </w:rPr>
              <w:t>外圆车刀</w:t>
            </w:r>
          </w:p>
        </w:tc>
        <w:tc>
          <w:tcPr>
            <w:tcW w:w="1326" w:type="dxa"/>
            <w:tcBorders>
              <w:top w:val="single" w:color="auto" w:sz="4" w:space="0"/>
              <w:left w:val="nil"/>
              <w:bottom w:val="single" w:color="auto" w:sz="4" w:space="0"/>
              <w:right w:val="single" w:color="auto" w:sz="4" w:space="0"/>
            </w:tcBorders>
            <w:vAlign w:val="center"/>
          </w:tcPr>
          <w:p>
            <w:pPr>
              <w:widowControl/>
              <w:kinsoku w:val="0"/>
              <w:overflowPunct w:val="0"/>
              <w:jc w:val="center"/>
              <w:textAlignment w:val="center"/>
              <w:rPr>
                <w:rFonts w:ascii="宋体" w:hAnsi="宋体"/>
                <w:kern w:val="0"/>
                <w:sz w:val="18"/>
                <w:szCs w:val="18"/>
              </w:rPr>
            </w:pPr>
            <w:r>
              <w:rPr>
                <w:rFonts w:hint="eastAsia" w:ascii="宋体" w:hAnsi="宋体"/>
                <w:kern w:val="0"/>
                <w:sz w:val="18"/>
                <w:szCs w:val="18"/>
              </w:rPr>
              <w:t>外径千分尺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tcPr>
          <w:p>
            <w:pPr>
              <w:spacing w:before="156" w:beforeLines="50"/>
              <w:jc w:val="center"/>
              <w:rPr>
                <w:rFonts w:ascii="宋体" w:hAnsi="宋体"/>
                <w:kern w:val="0"/>
                <w:sz w:val="18"/>
                <w:szCs w:val="18"/>
              </w:rPr>
            </w:pPr>
            <w:r>
              <w:rPr>
                <w:rFonts w:hint="eastAsia" w:ascii="宋体" w:hAnsi="宋体"/>
                <w:kern w:val="0"/>
                <w:sz w:val="18"/>
                <w:szCs w:val="18"/>
              </w:rPr>
              <w:t>4</w:t>
            </w:r>
          </w:p>
        </w:tc>
        <w:tc>
          <w:tcPr>
            <w:tcW w:w="1276" w:type="dxa"/>
            <w:tcBorders>
              <w:top w:val="single" w:color="auto" w:sz="4" w:space="0"/>
              <w:left w:val="nil"/>
              <w:bottom w:val="single" w:color="auto" w:sz="4" w:space="0"/>
              <w:right w:val="single" w:color="auto" w:sz="4" w:space="0"/>
            </w:tcBorders>
            <w:vAlign w:val="center"/>
          </w:tcPr>
          <w:p>
            <w:pPr>
              <w:widowControl/>
              <w:kinsoku w:val="0"/>
              <w:overflowPunct w:val="0"/>
              <w:jc w:val="center"/>
              <w:textAlignment w:val="center"/>
              <w:rPr>
                <w:rFonts w:ascii="宋体" w:hAnsi="宋体"/>
                <w:kern w:val="0"/>
                <w:sz w:val="18"/>
                <w:szCs w:val="18"/>
              </w:rPr>
            </w:pPr>
            <w:r>
              <w:rPr>
                <w:rFonts w:hint="eastAsia" w:ascii="宋体" w:hAnsi="宋体"/>
                <w:kern w:val="0"/>
                <w:sz w:val="18"/>
                <w:szCs w:val="18"/>
              </w:rPr>
              <w:t>重新装夹 </w:t>
            </w:r>
          </w:p>
        </w:tc>
        <w:tc>
          <w:tcPr>
            <w:tcW w:w="2835" w:type="dxa"/>
            <w:tcBorders>
              <w:top w:val="single" w:color="auto" w:sz="4" w:space="0"/>
              <w:left w:val="nil"/>
              <w:bottom w:val="single" w:color="auto" w:sz="4" w:space="0"/>
              <w:right w:val="single" w:color="auto" w:sz="4" w:space="0"/>
            </w:tcBorders>
            <w:vAlign w:val="center"/>
          </w:tcPr>
          <w:p>
            <w:pPr>
              <w:widowControl/>
              <w:kinsoku w:val="0"/>
              <w:overflowPunct w:val="0"/>
              <w:jc w:val="left"/>
              <w:textAlignment w:val="center"/>
              <w:rPr>
                <w:rFonts w:ascii="宋体" w:hAnsi="宋体"/>
                <w:kern w:val="0"/>
                <w:sz w:val="18"/>
                <w:szCs w:val="18"/>
              </w:rPr>
            </w:pPr>
            <w:r>
              <w:rPr>
                <w:rFonts w:hint="eastAsia" w:ascii="宋体" w:hAnsi="宋体"/>
                <w:kern w:val="0"/>
                <w:sz w:val="18"/>
                <w:szCs w:val="18"/>
              </w:rPr>
              <w:t>装夹φ40mm处，以φ40mm处为基准，用百分表校核跳动。车左端面并保证总长至尺寸 </w:t>
            </w:r>
          </w:p>
        </w:tc>
        <w:tc>
          <w:tcPr>
            <w:tcW w:w="1130" w:type="dxa"/>
            <w:tcBorders>
              <w:top w:val="single" w:color="auto" w:sz="4" w:space="0"/>
              <w:left w:val="nil"/>
              <w:bottom w:val="single" w:color="auto" w:sz="4" w:space="0"/>
              <w:right w:val="single" w:color="auto" w:sz="4" w:space="0"/>
            </w:tcBorders>
            <w:vAlign w:val="center"/>
          </w:tcPr>
          <w:p>
            <w:pPr>
              <w:widowControl/>
              <w:kinsoku w:val="0"/>
              <w:overflowPunct w:val="0"/>
              <w:jc w:val="center"/>
              <w:textAlignment w:val="center"/>
              <w:rPr>
                <w:rFonts w:ascii="宋体" w:hAnsi="宋体"/>
                <w:kern w:val="0"/>
                <w:sz w:val="18"/>
                <w:szCs w:val="18"/>
              </w:rPr>
            </w:pPr>
            <w:r>
              <w:rPr>
                <w:rFonts w:hint="eastAsia" w:ascii="宋体" w:hAnsi="宋体"/>
                <w:kern w:val="0"/>
                <w:sz w:val="18"/>
                <w:szCs w:val="18"/>
              </w:rPr>
              <w:t>三爪卡盘 </w:t>
            </w:r>
          </w:p>
        </w:tc>
        <w:tc>
          <w:tcPr>
            <w:tcW w:w="1516" w:type="dxa"/>
            <w:tcBorders>
              <w:top w:val="single" w:color="auto" w:sz="4" w:space="0"/>
              <w:left w:val="nil"/>
              <w:bottom w:val="single" w:color="auto" w:sz="4" w:space="0"/>
              <w:right w:val="single" w:color="auto" w:sz="4" w:space="0"/>
            </w:tcBorders>
            <w:vAlign w:val="center"/>
          </w:tcPr>
          <w:p>
            <w:pPr>
              <w:widowControl/>
              <w:kinsoku w:val="0"/>
              <w:overflowPunct w:val="0"/>
              <w:jc w:val="center"/>
              <w:textAlignment w:val="center"/>
              <w:rPr>
                <w:rFonts w:ascii="宋体" w:hAnsi="宋体"/>
                <w:kern w:val="0"/>
                <w:sz w:val="18"/>
                <w:szCs w:val="18"/>
              </w:rPr>
            </w:pPr>
            <w:r>
              <w:rPr>
                <w:rFonts w:hint="eastAsia" w:ascii="宋体" w:hAnsi="宋体"/>
                <w:kern w:val="0"/>
                <w:sz w:val="18"/>
                <w:szCs w:val="18"/>
              </w:rPr>
              <w:t>外圆车刀</w:t>
            </w:r>
          </w:p>
        </w:tc>
        <w:tc>
          <w:tcPr>
            <w:tcW w:w="1326" w:type="dxa"/>
            <w:tcBorders>
              <w:top w:val="single" w:color="auto" w:sz="4" w:space="0"/>
              <w:left w:val="nil"/>
              <w:bottom w:val="single" w:color="auto" w:sz="4" w:space="0"/>
              <w:right w:val="single" w:color="auto" w:sz="4" w:space="0"/>
            </w:tcBorders>
            <w:vAlign w:val="center"/>
          </w:tcPr>
          <w:p>
            <w:pPr>
              <w:widowControl/>
              <w:kinsoku w:val="0"/>
              <w:overflowPunct w:val="0"/>
              <w:jc w:val="center"/>
              <w:textAlignment w:val="center"/>
              <w:rPr>
                <w:rFonts w:ascii="宋体" w:hAnsi="宋体"/>
                <w:kern w:val="0"/>
                <w:sz w:val="18"/>
                <w:szCs w:val="18"/>
              </w:rPr>
            </w:pPr>
            <w:r>
              <w:rPr>
                <w:rFonts w:hint="eastAsia" w:ascii="宋体" w:hAnsi="宋体"/>
                <w:kern w:val="0"/>
                <w:sz w:val="18"/>
                <w:szCs w:val="18"/>
              </w:rPr>
              <w:t>游标卡尺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tcPr>
          <w:p>
            <w:pPr>
              <w:spacing w:before="156" w:beforeLines="50"/>
              <w:jc w:val="center"/>
              <w:rPr>
                <w:rFonts w:ascii="宋体" w:hAnsi="宋体"/>
                <w:kern w:val="0"/>
                <w:sz w:val="18"/>
                <w:szCs w:val="18"/>
              </w:rPr>
            </w:pPr>
            <w:r>
              <w:rPr>
                <w:rFonts w:hint="eastAsia" w:ascii="宋体" w:hAnsi="宋体"/>
                <w:kern w:val="0"/>
                <w:sz w:val="18"/>
                <w:szCs w:val="18"/>
              </w:rPr>
              <w:t>5</w:t>
            </w:r>
          </w:p>
        </w:tc>
        <w:tc>
          <w:tcPr>
            <w:tcW w:w="1276" w:type="dxa"/>
            <w:tcBorders>
              <w:top w:val="single" w:color="auto" w:sz="4" w:space="0"/>
              <w:left w:val="nil"/>
              <w:bottom w:val="single" w:color="auto" w:sz="4" w:space="0"/>
              <w:right w:val="single" w:color="auto" w:sz="4" w:space="0"/>
            </w:tcBorders>
            <w:vAlign w:val="center"/>
          </w:tcPr>
          <w:p>
            <w:pPr>
              <w:widowControl/>
              <w:kinsoku w:val="0"/>
              <w:overflowPunct w:val="0"/>
              <w:jc w:val="center"/>
              <w:textAlignment w:val="center"/>
              <w:rPr>
                <w:rFonts w:ascii="宋体" w:hAnsi="宋体"/>
                <w:kern w:val="0"/>
                <w:sz w:val="18"/>
                <w:szCs w:val="18"/>
              </w:rPr>
            </w:pPr>
            <w:r>
              <w:rPr>
                <w:rFonts w:hint="eastAsia" w:ascii="宋体" w:hAnsi="宋体"/>
                <w:kern w:val="0"/>
                <w:sz w:val="18"/>
                <w:szCs w:val="18"/>
              </w:rPr>
              <w:t>粗车左端外轮廓 </w:t>
            </w:r>
          </w:p>
        </w:tc>
        <w:tc>
          <w:tcPr>
            <w:tcW w:w="2835" w:type="dxa"/>
            <w:tcBorders>
              <w:top w:val="single" w:color="auto" w:sz="4" w:space="0"/>
              <w:left w:val="nil"/>
              <w:bottom w:val="single" w:color="auto" w:sz="4" w:space="0"/>
              <w:right w:val="single" w:color="auto" w:sz="4" w:space="0"/>
            </w:tcBorders>
            <w:vAlign w:val="center"/>
          </w:tcPr>
          <w:p>
            <w:pPr>
              <w:widowControl/>
              <w:kinsoku w:val="0"/>
              <w:overflowPunct w:val="0"/>
              <w:jc w:val="left"/>
              <w:textAlignment w:val="center"/>
              <w:rPr>
                <w:rFonts w:ascii="宋体" w:hAnsi="宋体"/>
                <w:kern w:val="0"/>
                <w:sz w:val="18"/>
                <w:szCs w:val="18"/>
              </w:rPr>
            </w:pPr>
            <w:r>
              <w:rPr>
                <w:rFonts w:hint="eastAsia" w:ascii="宋体" w:hAnsi="宋体"/>
                <w:kern w:val="0"/>
                <w:sz w:val="18"/>
                <w:szCs w:val="18"/>
              </w:rPr>
              <w:t>粗车左端外形轮廓，留有0.5mm精加工余量 </w:t>
            </w:r>
          </w:p>
        </w:tc>
        <w:tc>
          <w:tcPr>
            <w:tcW w:w="1130" w:type="dxa"/>
            <w:tcBorders>
              <w:top w:val="single" w:color="auto" w:sz="4" w:space="0"/>
              <w:left w:val="nil"/>
              <w:bottom w:val="single" w:color="auto" w:sz="4" w:space="0"/>
              <w:right w:val="single" w:color="auto" w:sz="4" w:space="0"/>
            </w:tcBorders>
            <w:vAlign w:val="center"/>
          </w:tcPr>
          <w:p>
            <w:pPr>
              <w:widowControl/>
              <w:kinsoku w:val="0"/>
              <w:overflowPunct w:val="0"/>
              <w:jc w:val="center"/>
              <w:textAlignment w:val="center"/>
              <w:rPr>
                <w:rFonts w:ascii="宋体" w:hAnsi="宋体"/>
                <w:kern w:val="0"/>
                <w:sz w:val="18"/>
                <w:szCs w:val="18"/>
              </w:rPr>
            </w:pPr>
            <w:r>
              <w:rPr>
                <w:rFonts w:hint="eastAsia" w:ascii="宋体" w:hAnsi="宋体"/>
                <w:kern w:val="0"/>
                <w:sz w:val="18"/>
                <w:szCs w:val="18"/>
              </w:rPr>
              <w:t>三爪卡盘 </w:t>
            </w:r>
          </w:p>
        </w:tc>
        <w:tc>
          <w:tcPr>
            <w:tcW w:w="1516" w:type="dxa"/>
            <w:tcBorders>
              <w:top w:val="single" w:color="auto" w:sz="4" w:space="0"/>
              <w:left w:val="nil"/>
              <w:bottom w:val="single" w:color="auto" w:sz="4" w:space="0"/>
              <w:right w:val="single" w:color="auto" w:sz="4" w:space="0"/>
            </w:tcBorders>
            <w:vAlign w:val="center"/>
          </w:tcPr>
          <w:p>
            <w:pPr>
              <w:widowControl/>
              <w:kinsoku w:val="0"/>
              <w:overflowPunct w:val="0"/>
              <w:jc w:val="center"/>
              <w:textAlignment w:val="center"/>
              <w:rPr>
                <w:rFonts w:ascii="宋体" w:hAnsi="宋体"/>
                <w:kern w:val="0"/>
                <w:sz w:val="18"/>
                <w:szCs w:val="18"/>
              </w:rPr>
            </w:pPr>
            <w:r>
              <w:rPr>
                <w:rFonts w:hint="eastAsia" w:ascii="宋体" w:hAnsi="宋体"/>
                <w:kern w:val="0"/>
                <w:sz w:val="18"/>
                <w:szCs w:val="18"/>
              </w:rPr>
              <w:t>外圆车刀</w:t>
            </w:r>
          </w:p>
        </w:tc>
        <w:tc>
          <w:tcPr>
            <w:tcW w:w="1326" w:type="dxa"/>
            <w:tcBorders>
              <w:top w:val="single" w:color="auto" w:sz="4" w:space="0"/>
              <w:left w:val="nil"/>
              <w:bottom w:val="single" w:color="auto" w:sz="4" w:space="0"/>
              <w:right w:val="single" w:color="auto" w:sz="4" w:space="0"/>
            </w:tcBorders>
            <w:vAlign w:val="center"/>
          </w:tcPr>
          <w:p>
            <w:pPr>
              <w:widowControl/>
              <w:kinsoku w:val="0"/>
              <w:overflowPunct w:val="0"/>
              <w:jc w:val="center"/>
              <w:textAlignment w:val="center"/>
              <w:rPr>
                <w:rFonts w:ascii="宋体" w:hAnsi="宋体"/>
                <w:kern w:val="0"/>
                <w:sz w:val="18"/>
                <w:szCs w:val="18"/>
              </w:rPr>
            </w:pPr>
            <w:r>
              <w:rPr>
                <w:rFonts w:hint="eastAsia" w:ascii="宋体" w:hAnsi="宋体"/>
                <w:kern w:val="0"/>
                <w:sz w:val="18"/>
                <w:szCs w:val="18"/>
              </w:rPr>
              <w:t>外径千分尺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tcPr>
          <w:p>
            <w:pPr>
              <w:spacing w:before="156" w:beforeLines="50"/>
              <w:jc w:val="center"/>
              <w:rPr>
                <w:rFonts w:ascii="宋体" w:hAnsi="宋体"/>
                <w:kern w:val="0"/>
                <w:sz w:val="18"/>
                <w:szCs w:val="18"/>
              </w:rPr>
            </w:pPr>
            <w:r>
              <w:rPr>
                <w:rFonts w:hint="eastAsia" w:ascii="宋体" w:hAnsi="宋体"/>
                <w:kern w:val="0"/>
                <w:sz w:val="18"/>
                <w:szCs w:val="18"/>
              </w:rPr>
              <w:t>6</w:t>
            </w:r>
          </w:p>
        </w:tc>
        <w:tc>
          <w:tcPr>
            <w:tcW w:w="1276" w:type="dxa"/>
            <w:tcBorders>
              <w:top w:val="single" w:color="auto" w:sz="4" w:space="0"/>
              <w:left w:val="nil"/>
              <w:bottom w:val="single" w:color="auto" w:sz="4" w:space="0"/>
              <w:right w:val="single" w:color="auto" w:sz="4" w:space="0"/>
            </w:tcBorders>
            <w:vAlign w:val="center"/>
          </w:tcPr>
          <w:p>
            <w:pPr>
              <w:widowControl/>
              <w:kinsoku w:val="0"/>
              <w:overflowPunct w:val="0"/>
              <w:jc w:val="center"/>
              <w:textAlignment w:val="center"/>
              <w:rPr>
                <w:rFonts w:ascii="宋体" w:hAnsi="宋体"/>
                <w:kern w:val="0"/>
                <w:sz w:val="18"/>
                <w:szCs w:val="18"/>
              </w:rPr>
            </w:pPr>
            <w:r>
              <w:rPr>
                <w:rFonts w:hint="eastAsia" w:ascii="宋体" w:hAnsi="宋体"/>
                <w:kern w:val="0"/>
                <w:sz w:val="18"/>
                <w:szCs w:val="18"/>
              </w:rPr>
              <w:t>精加工左端外轮廓</w:t>
            </w:r>
          </w:p>
        </w:tc>
        <w:tc>
          <w:tcPr>
            <w:tcW w:w="2835" w:type="dxa"/>
            <w:tcBorders>
              <w:top w:val="single" w:color="auto" w:sz="4" w:space="0"/>
              <w:left w:val="nil"/>
              <w:bottom w:val="single" w:color="auto" w:sz="4" w:space="0"/>
              <w:right w:val="single" w:color="auto" w:sz="4" w:space="0"/>
            </w:tcBorders>
            <w:vAlign w:val="center"/>
          </w:tcPr>
          <w:p>
            <w:pPr>
              <w:widowControl/>
              <w:kinsoku w:val="0"/>
              <w:overflowPunct w:val="0"/>
              <w:jc w:val="left"/>
              <w:textAlignment w:val="center"/>
              <w:rPr>
                <w:rFonts w:ascii="宋体" w:hAnsi="宋体"/>
                <w:kern w:val="0"/>
                <w:sz w:val="18"/>
                <w:szCs w:val="18"/>
              </w:rPr>
            </w:pPr>
            <w:r>
              <w:rPr>
                <w:rFonts w:hint="eastAsia" w:ascii="宋体" w:hAnsi="宋体"/>
                <w:kern w:val="0"/>
                <w:sz w:val="18"/>
                <w:szCs w:val="18"/>
              </w:rPr>
              <w:t>精车零件的左端外形，至尺寸精度</w:t>
            </w:r>
          </w:p>
        </w:tc>
        <w:tc>
          <w:tcPr>
            <w:tcW w:w="1130" w:type="dxa"/>
            <w:tcBorders>
              <w:top w:val="single" w:color="auto" w:sz="4" w:space="0"/>
              <w:left w:val="nil"/>
              <w:bottom w:val="single" w:color="auto" w:sz="4" w:space="0"/>
              <w:right w:val="single" w:color="auto" w:sz="4" w:space="0"/>
            </w:tcBorders>
            <w:vAlign w:val="center"/>
          </w:tcPr>
          <w:p>
            <w:pPr>
              <w:widowControl/>
              <w:kinsoku w:val="0"/>
              <w:overflowPunct w:val="0"/>
              <w:jc w:val="center"/>
              <w:textAlignment w:val="center"/>
              <w:rPr>
                <w:rFonts w:ascii="宋体" w:hAnsi="宋体"/>
                <w:kern w:val="0"/>
                <w:sz w:val="18"/>
                <w:szCs w:val="18"/>
              </w:rPr>
            </w:pPr>
            <w:r>
              <w:rPr>
                <w:rFonts w:hint="eastAsia" w:ascii="宋体" w:hAnsi="宋体"/>
                <w:kern w:val="0"/>
                <w:sz w:val="18"/>
                <w:szCs w:val="18"/>
              </w:rPr>
              <w:t>三爪卡盘 </w:t>
            </w:r>
          </w:p>
        </w:tc>
        <w:tc>
          <w:tcPr>
            <w:tcW w:w="1516" w:type="dxa"/>
            <w:tcBorders>
              <w:top w:val="single" w:color="auto" w:sz="4" w:space="0"/>
              <w:left w:val="nil"/>
              <w:bottom w:val="single" w:color="auto" w:sz="4" w:space="0"/>
              <w:right w:val="single" w:color="auto" w:sz="4" w:space="0"/>
            </w:tcBorders>
            <w:vAlign w:val="center"/>
          </w:tcPr>
          <w:p>
            <w:pPr>
              <w:widowControl/>
              <w:kinsoku w:val="0"/>
              <w:overflowPunct w:val="0"/>
              <w:jc w:val="center"/>
              <w:textAlignment w:val="center"/>
              <w:rPr>
                <w:rFonts w:ascii="宋体" w:hAnsi="宋体"/>
                <w:kern w:val="0"/>
                <w:sz w:val="18"/>
                <w:szCs w:val="18"/>
              </w:rPr>
            </w:pPr>
            <w:r>
              <w:rPr>
                <w:rFonts w:hint="eastAsia" w:ascii="宋体" w:hAnsi="宋体"/>
                <w:kern w:val="0"/>
                <w:sz w:val="18"/>
                <w:szCs w:val="18"/>
              </w:rPr>
              <w:t>外圆车刀</w:t>
            </w:r>
          </w:p>
        </w:tc>
        <w:tc>
          <w:tcPr>
            <w:tcW w:w="1326" w:type="dxa"/>
            <w:tcBorders>
              <w:top w:val="single" w:color="auto" w:sz="4" w:space="0"/>
              <w:left w:val="nil"/>
              <w:bottom w:val="single" w:color="auto" w:sz="4" w:space="0"/>
              <w:right w:val="single" w:color="auto" w:sz="4" w:space="0"/>
            </w:tcBorders>
            <w:vAlign w:val="center"/>
          </w:tcPr>
          <w:p>
            <w:pPr>
              <w:widowControl/>
              <w:kinsoku w:val="0"/>
              <w:overflowPunct w:val="0"/>
              <w:jc w:val="center"/>
              <w:textAlignment w:val="center"/>
              <w:rPr>
                <w:rFonts w:ascii="宋体" w:hAnsi="宋体"/>
                <w:kern w:val="0"/>
                <w:sz w:val="18"/>
                <w:szCs w:val="18"/>
              </w:rPr>
            </w:pPr>
            <w:r>
              <w:rPr>
                <w:rFonts w:hint="eastAsia" w:ascii="宋体" w:hAnsi="宋体"/>
                <w:kern w:val="0"/>
                <w:sz w:val="18"/>
                <w:szCs w:val="18"/>
              </w:rPr>
              <w:t xml:space="preserve">外径千分尺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tcPr>
          <w:p>
            <w:pPr>
              <w:spacing w:before="156" w:beforeLines="50"/>
              <w:jc w:val="center"/>
              <w:rPr>
                <w:rFonts w:ascii="宋体" w:hAnsi="宋体"/>
                <w:kern w:val="0"/>
                <w:sz w:val="18"/>
                <w:szCs w:val="18"/>
              </w:rPr>
            </w:pPr>
            <w:r>
              <w:rPr>
                <w:rFonts w:hint="eastAsia" w:ascii="宋体" w:hAnsi="宋体"/>
                <w:kern w:val="0"/>
                <w:sz w:val="18"/>
                <w:szCs w:val="18"/>
              </w:rPr>
              <w:t>7</w:t>
            </w:r>
          </w:p>
        </w:tc>
        <w:tc>
          <w:tcPr>
            <w:tcW w:w="1276" w:type="dxa"/>
            <w:tcBorders>
              <w:top w:val="single" w:color="auto" w:sz="4" w:space="0"/>
              <w:left w:val="nil"/>
              <w:bottom w:val="single" w:color="auto" w:sz="4" w:space="0"/>
              <w:right w:val="single" w:color="auto" w:sz="4" w:space="0"/>
            </w:tcBorders>
            <w:vAlign w:val="center"/>
          </w:tcPr>
          <w:p>
            <w:pPr>
              <w:widowControl/>
              <w:kinsoku w:val="0"/>
              <w:overflowPunct w:val="0"/>
              <w:jc w:val="center"/>
              <w:textAlignment w:val="center"/>
              <w:rPr>
                <w:rFonts w:ascii="宋体" w:hAnsi="宋体"/>
                <w:kern w:val="0"/>
                <w:sz w:val="18"/>
                <w:szCs w:val="18"/>
              </w:rPr>
            </w:pPr>
            <w:r>
              <w:rPr>
                <w:rFonts w:hint="eastAsia" w:ascii="宋体" w:hAnsi="宋体"/>
                <w:kern w:val="0"/>
                <w:sz w:val="18"/>
                <w:szCs w:val="18"/>
              </w:rPr>
              <w:t>加工外螺纹退刀槽 </w:t>
            </w:r>
          </w:p>
        </w:tc>
        <w:tc>
          <w:tcPr>
            <w:tcW w:w="2835" w:type="dxa"/>
            <w:tcBorders>
              <w:top w:val="single" w:color="auto" w:sz="4" w:space="0"/>
              <w:left w:val="nil"/>
              <w:bottom w:val="single" w:color="auto" w:sz="4" w:space="0"/>
              <w:right w:val="single" w:color="auto" w:sz="4" w:space="0"/>
            </w:tcBorders>
            <w:vAlign w:val="center"/>
          </w:tcPr>
          <w:p>
            <w:pPr>
              <w:widowControl/>
              <w:kinsoku w:val="0"/>
              <w:overflowPunct w:val="0"/>
              <w:jc w:val="left"/>
              <w:textAlignment w:val="center"/>
              <w:rPr>
                <w:rFonts w:ascii="宋体" w:hAnsi="宋体"/>
                <w:kern w:val="0"/>
                <w:sz w:val="18"/>
                <w:szCs w:val="18"/>
              </w:rPr>
            </w:pPr>
            <w:r>
              <w:rPr>
                <w:rFonts w:hint="eastAsia" w:ascii="宋体" w:hAnsi="宋体"/>
                <w:kern w:val="0"/>
                <w:sz w:val="18"/>
                <w:szCs w:val="18"/>
              </w:rPr>
              <w:t>加工φ26×4mm的退刀槽 </w:t>
            </w:r>
          </w:p>
        </w:tc>
        <w:tc>
          <w:tcPr>
            <w:tcW w:w="1130" w:type="dxa"/>
            <w:tcBorders>
              <w:top w:val="single" w:color="auto" w:sz="4" w:space="0"/>
              <w:left w:val="nil"/>
              <w:bottom w:val="single" w:color="auto" w:sz="4" w:space="0"/>
              <w:right w:val="single" w:color="auto" w:sz="4" w:space="0"/>
            </w:tcBorders>
            <w:vAlign w:val="center"/>
          </w:tcPr>
          <w:p>
            <w:pPr>
              <w:widowControl/>
              <w:kinsoku w:val="0"/>
              <w:overflowPunct w:val="0"/>
              <w:jc w:val="center"/>
              <w:textAlignment w:val="center"/>
              <w:rPr>
                <w:rFonts w:ascii="宋体" w:hAnsi="宋体"/>
                <w:kern w:val="0"/>
                <w:sz w:val="18"/>
                <w:szCs w:val="18"/>
              </w:rPr>
            </w:pPr>
            <w:r>
              <w:rPr>
                <w:rFonts w:hint="eastAsia" w:ascii="宋体" w:hAnsi="宋体"/>
                <w:kern w:val="0"/>
                <w:sz w:val="18"/>
                <w:szCs w:val="18"/>
              </w:rPr>
              <w:t>三爪卡盘 </w:t>
            </w:r>
          </w:p>
        </w:tc>
        <w:tc>
          <w:tcPr>
            <w:tcW w:w="1516" w:type="dxa"/>
            <w:tcBorders>
              <w:top w:val="single" w:color="auto" w:sz="4" w:space="0"/>
              <w:left w:val="nil"/>
              <w:bottom w:val="single" w:color="auto" w:sz="4" w:space="0"/>
              <w:right w:val="single" w:color="auto" w:sz="4" w:space="0"/>
            </w:tcBorders>
            <w:vAlign w:val="center"/>
          </w:tcPr>
          <w:p>
            <w:pPr>
              <w:widowControl/>
              <w:kinsoku w:val="0"/>
              <w:overflowPunct w:val="0"/>
              <w:jc w:val="center"/>
              <w:textAlignment w:val="center"/>
              <w:rPr>
                <w:rFonts w:ascii="宋体" w:hAnsi="宋体"/>
                <w:kern w:val="0"/>
                <w:sz w:val="18"/>
                <w:szCs w:val="18"/>
              </w:rPr>
            </w:pPr>
            <w:r>
              <w:rPr>
                <w:rFonts w:hint="eastAsia" w:ascii="宋体" w:hAnsi="宋体"/>
                <w:kern w:val="0"/>
                <w:sz w:val="18"/>
                <w:szCs w:val="18"/>
              </w:rPr>
              <w:t xml:space="preserve">槽刀刀宽3mm </w:t>
            </w:r>
          </w:p>
        </w:tc>
        <w:tc>
          <w:tcPr>
            <w:tcW w:w="1326" w:type="dxa"/>
            <w:tcBorders>
              <w:top w:val="single" w:color="auto" w:sz="4" w:space="0"/>
              <w:left w:val="nil"/>
              <w:bottom w:val="single" w:color="auto" w:sz="4" w:space="0"/>
              <w:right w:val="single" w:color="auto" w:sz="4" w:space="0"/>
            </w:tcBorders>
            <w:vAlign w:val="center"/>
          </w:tcPr>
          <w:p>
            <w:pPr>
              <w:widowControl/>
              <w:kinsoku w:val="0"/>
              <w:overflowPunct w:val="0"/>
              <w:jc w:val="center"/>
              <w:textAlignment w:val="center"/>
              <w:rPr>
                <w:rFonts w:ascii="宋体" w:hAnsi="宋体"/>
                <w:kern w:val="0"/>
                <w:sz w:val="18"/>
                <w:szCs w:val="18"/>
              </w:rPr>
            </w:pPr>
            <w:r>
              <w:rPr>
                <w:rFonts w:hint="eastAsia" w:ascii="宋体" w:hAnsi="宋体"/>
                <w:kern w:val="0"/>
                <w:sz w:val="18"/>
                <w:szCs w:val="18"/>
              </w:rPr>
              <w:t>游标卡尺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tcPr>
          <w:p>
            <w:pPr>
              <w:spacing w:before="156" w:beforeLines="50"/>
              <w:jc w:val="center"/>
              <w:rPr>
                <w:rFonts w:ascii="宋体" w:hAnsi="宋体"/>
                <w:kern w:val="0"/>
                <w:sz w:val="18"/>
                <w:szCs w:val="18"/>
              </w:rPr>
            </w:pPr>
            <w:r>
              <w:rPr>
                <w:rFonts w:hint="eastAsia" w:ascii="宋体" w:hAnsi="宋体"/>
                <w:kern w:val="0"/>
                <w:sz w:val="18"/>
                <w:szCs w:val="18"/>
              </w:rPr>
              <w:t>8</w:t>
            </w:r>
          </w:p>
        </w:tc>
        <w:tc>
          <w:tcPr>
            <w:tcW w:w="1276" w:type="dxa"/>
            <w:tcBorders>
              <w:top w:val="single" w:color="auto" w:sz="4" w:space="0"/>
              <w:left w:val="nil"/>
              <w:bottom w:val="single" w:color="auto" w:sz="4" w:space="0"/>
              <w:right w:val="single" w:color="auto" w:sz="4" w:space="0"/>
            </w:tcBorders>
            <w:vAlign w:val="center"/>
          </w:tcPr>
          <w:p>
            <w:pPr>
              <w:widowControl/>
              <w:kinsoku w:val="0"/>
              <w:overflowPunct w:val="0"/>
              <w:jc w:val="center"/>
              <w:textAlignment w:val="center"/>
              <w:rPr>
                <w:rFonts w:ascii="宋体" w:hAnsi="宋体"/>
                <w:kern w:val="0"/>
                <w:sz w:val="18"/>
                <w:szCs w:val="18"/>
              </w:rPr>
            </w:pPr>
            <w:r>
              <w:rPr>
                <w:rFonts w:hint="eastAsia" w:ascii="宋体" w:hAnsi="宋体"/>
                <w:kern w:val="0"/>
                <w:sz w:val="18"/>
                <w:szCs w:val="18"/>
              </w:rPr>
              <w:t>加工M30x1.5mm外螺纹 </w:t>
            </w:r>
          </w:p>
        </w:tc>
        <w:tc>
          <w:tcPr>
            <w:tcW w:w="2835" w:type="dxa"/>
            <w:tcBorders>
              <w:top w:val="single" w:color="auto" w:sz="4" w:space="0"/>
              <w:left w:val="nil"/>
              <w:bottom w:val="single" w:color="auto" w:sz="4" w:space="0"/>
              <w:right w:val="single" w:color="auto" w:sz="4" w:space="0"/>
            </w:tcBorders>
            <w:vAlign w:val="center"/>
          </w:tcPr>
          <w:p>
            <w:pPr>
              <w:widowControl/>
              <w:kinsoku w:val="0"/>
              <w:overflowPunct w:val="0"/>
              <w:jc w:val="left"/>
              <w:textAlignment w:val="center"/>
              <w:rPr>
                <w:rFonts w:ascii="宋体" w:hAnsi="宋体"/>
                <w:kern w:val="0"/>
                <w:sz w:val="18"/>
                <w:szCs w:val="18"/>
              </w:rPr>
            </w:pPr>
            <w:r>
              <w:rPr>
                <w:rFonts w:hint="eastAsia" w:ascii="宋体" w:hAnsi="宋体"/>
                <w:kern w:val="0"/>
                <w:sz w:val="18"/>
                <w:szCs w:val="18"/>
              </w:rPr>
              <w:t>加工M30x1.5mm的外螺纹 </w:t>
            </w:r>
          </w:p>
        </w:tc>
        <w:tc>
          <w:tcPr>
            <w:tcW w:w="1130" w:type="dxa"/>
            <w:tcBorders>
              <w:top w:val="single" w:color="auto" w:sz="4" w:space="0"/>
              <w:left w:val="nil"/>
              <w:bottom w:val="single" w:color="auto" w:sz="4" w:space="0"/>
              <w:right w:val="single" w:color="auto" w:sz="4" w:space="0"/>
            </w:tcBorders>
            <w:vAlign w:val="center"/>
          </w:tcPr>
          <w:p>
            <w:pPr>
              <w:widowControl/>
              <w:kinsoku w:val="0"/>
              <w:overflowPunct w:val="0"/>
              <w:jc w:val="center"/>
              <w:textAlignment w:val="center"/>
              <w:rPr>
                <w:rFonts w:ascii="宋体" w:hAnsi="宋体"/>
                <w:kern w:val="0"/>
                <w:sz w:val="18"/>
                <w:szCs w:val="18"/>
              </w:rPr>
            </w:pPr>
            <w:r>
              <w:rPr>
                <w:rFonts w:hint="eastAsia" w:ascii="宋体" w:hAnsi="宋体"/>
                <w:kern w:val="0"/>
                <w:sz w:val="18"/>
                <w:szCs w:val="18"/>
              </w:rPr>
              <w:t>三爪卡盘 </w:t>
            </w:r>
          </w:p>
        </w:tc>
        <w:tc>
          <w:tcPr>
            <w:tcW w:w="1516" w:type="dxa"/>
            <w:tcBorders>
              <w:top w:val="single" w:color="auto" w:sz="4" w:space="0"/>
              <w:left w:val="nil"/>
              <w:bottom w:val="single" w:color="auto" w:sz="4" w:space="0"/>
              <w:right w:val="single" w:color="auto" w:sz="4" w:space="0"/>
            </w:tcBorders>
            <w:vAlign w:val="center"/>
          </w:tcPr>
          <w:p>
            <w:pPr>
              <w:widowControl/>
              <w:kinsoku w:val="0"/>
              <w:overflowPunct w:val="0"/>
              <w:jc w:val="center"/>
              <w:textAlignment w:val="center"/>
              <w:rPr>
                <w:rFonts w:ascii="宋体" w:hAnsi="宋体"/>
                <w:kern w:val="0"/>
                <w:sz w:val="18"/>
                <w:szCs w:val="18"/>
              </w:rPr>
            </w:pPr>
            <w:r>
              <w:rPr>
                <w:rFonts w:hint="eastAsia" w:ascii="宋体" w:hAnsi="宋体"/>
                <w:kern w:val="0"/>
                <w:sz w:val="18"/>
                <w:szCs w:val="18"/>
              </w:rPr>
              <w:t>外螺纹刀</w:t>
            </w:r>
          </w:p>
        </w:tc>
        <w:tc>
          <w:tcPr>
            <w:tcW w:w="1326" w:type="dxa"/>
            <w:tcBorders>
              <w:top w:val="single" w:color="auto" w:sz="4" w:space="0"/>
              <w:left w:val="nil"/>
              <w:bottom w:val="single" w:color="auto" w:sz="4" w:space="0"/>
              <w:right w:val="single" w:color="auto" w:sz="4" w:space="0"/>
            </w:tcBorders>
            <w:vAlign w:val="center"/>
          </w:tcPr>
          <w:p>
            <w:pPr>
              <w:widowControl/>
              <w:kinsoku w:val="0"/>
              <w:overflowPunct w:val="0"/>
              <w:jc w:val="center"/>
              <w:textAlignment w:val="center"/>
              <w:rPr>
                <w:rFonts w:ascii="宋体" w:hAnsi="宋体"/>
                <w:kern w:val="0"/>
                <w:sz w:val="18"/>
                <w:szCs w:val="18"/>
              </w:rPr>
            </w:pPr>
            <w:r>
              <w:rPr>
                <w:rFonts w:hint="eastAsia" w:ascii="宋体" w:hAnsi="宋体"/>
                <w:kern w:val="0"/>
                <w:sz w:val="18"/>
                <w:szCs w:val="18"/>
              </w:rPr>
              <w:t>螺纹规 </w:t>
            </w:r>
          </w:p>
        </w:tc>
      </w:tr>
    </w:tbl>
    <w:p>
      <w:pPr>
        <w:widowControl/>
        <w:jc w:val="center"/>
        <w:rPr>
          <w:rFonts w:hint="eastAsia"/>
        </w:rPr>
      </w:pPr>
    </w:p>
    <w:p>
      <w:pPr>
        <w:widowControl/>
        <w:jc w:val="center"/>
      </w:pPr>
    </w:p>
    <w:p>
      <w:pPr>
        <w:spacing w:before="156" w:beforeLines="50"/>
        <w:ind w:firstLine="420" w:firstLineChars="200"/>
      </w:pPr>
      <w:r>
        <w:rPr>
          <w:rFonts w:hint="eastAsia"/>
        </w:rPr>
        <w:t>3.数控车床设备进行“对刀”操作的意思是什么？</w:t>
      </w:r>
    </w:p>
    <w:p>
      <w:pPr>
        <w:spacing w:before="156" w:beforeLines="50"/>
        <w:ind w:firstLine="420" w:firstLineChars="200"/>
      </w:pPr>
      <w:r>
        <w:rPr>
          <w:rFonts w:hint="eastAsia"/>
        </w:rPr>
        <w:t>答题要点：</w:t>
      </w:r>
    </w:p>
    <w:p>
      <w:pPr>
        <w:ind w:firstLine="435"/>
      </w:pPr>
      <w:r>
        <w:rPr>
          <w:rFonts w:hint="eastAsia"/>
        </w:rPr>
        <w:t>为了使数控车床的绝对坐标系与编程的零点坐标系统一，以实现正确的加工出图纸的轮廓尺寸，需对数控车床进行对刀操作。对刀操作即数控车床的刀具刀位点与机床机械坐标系构成一个特殊的关系。</w:t>
      </w:r>
    </w:p>
    <w:p>
      <w:pPr>
        <w:spacing w:before="156" w:beforeLines="50"/>
        <w:ind w:firstLine="420" w:firstLineChars="200"/>
      </w:pPr>
    </w:p>
    <w:p>
      <w:pPr>
        <w:spacing w:before="156" w:beforeLines="50"/>
        <w:ind w:firstLine="420" w:firstLineChars="200"/>
      </w:pPr>
      <w:r>
        <w:rPr>
          <w:rFonts w:hint="eastAsia"/>
        </w:rPr>
        <w:t>4.如何利用数控车床设备进行产品精度调试，简要的从几个方面进行阐述。</w:t>
      </w:r>
    </w:p>
    <w:p>
      <w:pPr>
        <w:spacing w:before="156" w:beforeLines="50"/>
        <w:ind w:firstLine="420" w:firstLineChars="200"/>
      </w:pPr>
      <w:r>
        <w:rPr>
          <w:rFonts w:hint="eastAsia"/>
        </w:rPr>
        <w:t>答题要点：</w:t>
      </w:r>
    </w:p>
    <w:p>
      <w:pPr>
        <w:pStyle w:val="12"/>
        <w:numPr>
          <w:ilvl w:val="0"/>
          <w:numId w:val="3"/>
        </w:numPr>
        <w:spacing w:before="156" w:beforeLines="50"/>
        <w:ind w:firstLineChars="0"/>
      </w:pPr>
      <w:r>
        <w:rPr>
          <w:rFonts w:hint="eastAsia"/>
        </w:rPr>
        <w:t>图纸尺寸精度、形位公差的分析；</w:t>
      </w:r>
    </w:p>
    <w:p>
      <w:pPr>
        <w:pStyle w:val="12"/>
        <w:numPr>
          <w:ilvl w:val="0"/>
          <w:numId w:val="3"/>
        </w:numPr>
        <w:spacing w:before="156" w:beforeLines="50"/>
        <w:ind w:firstLineChars="0"/>
      </w:pPr>
      <w:r>
        <w:rPr>
          <w:rFonts w:hint="eastAsia"/>
        </w:rPr>
        <w:t>合理选择量具、正确使用量具；</w:t>
      </w:r>
    </w:p>
    <w:p>
      <w:pPr>
        <w:pStyle w:val="12"/>
        <w:numPr>
          <w:ilvl w:val="0"/>
          <w:numId w:val="3"/>
        </w:numPr>
        <w:spacing w:before="156" w:beforeLines="50"/>
        <w:ind w:firstLineChars="0"/>
      </w:pPr>
      <w:r>
        <w:rPr>
          <w:rFonts w:hint="eastAsia"/>
        </w:rPr>
        <w:t>合理切削用量、精加工余量的设置；</w:t>
      </w:r>
    </w:p>
    <w:p>
      <w:pPr>
        <w:pStyle w:val="12"/>
        <w:numPr>
          <w:ilvl w:val="0"/>
          <w:numId w:val="3"/>
        </w:numPr>
        <w:spacing w:before="156" w:beforeLines="50"/>
        <w:ind w:firstLineChars="0"/>
      </w:pPr>
      <w:r>
        <w:rPr>
          <w:rFonts w:hint="eastAsia"/>
        </w:rPr>
        <w:t>刀具磨损补偿量的设置；</w:t>
      </w:r>
    </w:p>
    <w:p>
      <w:pPr>
        <w:pStyle w:val="12"/>
        <w:numPr>
          <w:ilvl w:val="0"/>
          <w:numId w:val="3"/>
        </w:numPr>
        <w:spacing w:before="156" w:beforeLines="50"/>
        <w:ind w:firstLineChars="0"/>
      </w:pPr>
      <w:r>
        <w:rPr>
          <w:rFonts w:hint="eastAsia"/>
        </w:rPr>
        <w:t>数控程序的调试；</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B1FD67"/>
    <w:multiLevelType w:val="singleLevel"/>
    <w:tmpl w:val="EEB1FD67"/>
    <w:lvl w:ilvl="0" w:tentative="0">
      <w:start w:val="4"/>
      <w:numFmt w:val="chineseCounting"/>
      <w:suff w:val="space"/>
      <w:lvlText w:val="第%1章"/>
      <w:lvlJc w:val="left"/>
      <w:rPr>
        <w:rFonts w:hint="eastAsia"/>
      </w:rPr>
    </w:lvl>
  </w:abstractNum>
  <w:abstractNum w:abstractNumId="1">
    <w:nsid w:val="05F71585"/>
    <w:multiLevelType w:val="multilevel"/>
    <w:tmpl w:val="05F71585"/>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425337FF"/>
    <w:multiLevelType w:val="multilevel"/>
    <w:tmpl w:val="425337FF"/>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7799"/>
    <w:rsid w:val="00250D49"/>
    <w:rsid w:val="0028250B"/>
    <w:rsid w:val="002A734A"/>
    <w:rsid w:val="00712153"/>
    <w:rsid w:val="007C31A4"/>
    <w:rsid w:val="007F330A"/>
    <w:rsid w:val="0085254C"/>
    <w:rsid w:val="008B41F1"/>
    <w:rsid w:val="008C7799"/>
    <w:rsid w:val="009C4A71"/>
    <w:rsid w:val="00A41827"/>
    <w:rsid w:val="00B211D5"/>
    <w:rsid w:val="00B939D5"/>
    <w:rsid w:val="00BC2E64"/>
    <w:rsid w:val="00BD21E6"/>
    <w:rsid w:val="00CD1EC4"/>
    <w:rsid w:val="00D47303"/>
    <w:rsid w:val="00DF0593"/>
    <w:rsid w:val="00DF0D4A"/>
    <w:rsid w:val="00E132EB"/>
    <w:rsid w:val="00EE3F4A"/>
    <w:rsid w:val="00FF1F9B"/>
    <w:rsid w:val="51BD6255"/>
    <w:rsid w:val="64F00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semiHidden/>
    <w:unhideWhenUsed/>
    <w:uiPriority w:val="99"/>
    <w:rPr>
      <w:sz w:val="18"/>
      <w:szCs w:val="18"/>
    </w:rPr>
  </w:style>
  <w:style w:type="paragraph" w:styleId="3">
    <w:name w:val="footer"/>
    <w:basedOn w:val="1"/>
    <w:link w:val="9"/>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Hyperlink"/>
    <w:basedOn w:val="6"/>
    <w:semiHidden/>
    <w:unhideWhenUsed/>
    <w:qFormat/>
    <w:uiPriority w:val="99"/>
    <w:rPr>
      <w:color w:val="0000FF"/>
      <w:u w:val="single"/>
    </w:rPr>
  </w:style>
  <w:style w:type="character" w:customStyle="1" w:styleId="8">
    <w:name w:val="页眉 Char"/>
    <w:basedOn w:val="6"/>
    <w:link w:val="4"/>
    <w:uiPriority w:val="99"/>
    <w:rPr>
      <w:sz w:val="18"/>
      <w:szCs w:val="18"/>
    </w:rPr>
  </w:style>
  <w:style w:type="character" w:customStyle="1" w:styleId="9">
    <w:name w:val="页脚 Char"/>
    <w:basedOn w:val="6"/>
    <w:link w:val="3"/>
    <w:uiPriority w:val="99"/>
    <w:rPr>
      <w:sz w:val="18"/>
      <w:szCs w:val="18"/>
    </w:rPr>
  </w:style>
  <w:style w:type="paragraph" w:customStyle="1" w:styleId="10">
    <w:name w:val="Char Char Char Char"/>
    <w:basedOn w:val="1"/>
    <w:uiPriority w:val="0"/>
    <w:rPr>
      <w:szCs w:val="24"/>
    </w:rPr>
  </w:style>
  <w:style w:type="character" w:customStyle="1" w:styleId="11">
    <w:name w:val="批注框文本 Char"/>
    <w:basedOn w:val="6"/>
    <w:link w:val="2"/>
    <w:semiHidden/>
    <w:uiPriority w:val="99"/>
    <w:rPr>
      <w:rFonts w:ascii="Times New Roman" w:hAnsi="Times New Roman" w:eastAsia="宋体" w:cs="Times New Roman"/>
      <w:sz w:val="18"/>
      <w:szCs w:val="18"/>
    </w:rPr>
  </w:style>
  <w:style w:type="paragraph" w:styleId="12">
    <w:name w:val="List Paragraph"/>
    <w:basedOn w:val="1"/>
    <w:qFormat/>
    <w:uiPriority w:val="34"/>
    <w:pPr>
      <w:ind w:firstLine="420" w:firstLineChars="200"/>
    </w:pPr>
  </w:style>
  <w:style w:type="paragraph" w:customStyle="1" w:styleId="13">
    <w:name w:val="Char Char Char Char1"/>
    <w:basedOn w:val="1"/>
    <w:uiPriority w:val="0"/>
    <w:rPr>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603</Words>
  <Characters>3442</Characters>
  <Lines>28</Lines>
  <Paragraphs>8</Paragraphs>
  <TotalTime>0</TotalTime>
  <ScaleCrop>false</ScaleCrop>
  <LinksUpToDate>false</LinksUpToDate>
  <CharactersWithSpaces>4037</CharactersWithSpaces>
  <Application>WPS Office_11.1.0.8986_F1E327BC-269C-435d-A152-05C5408002CA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2019-09-01T00:12:00Z</dcterms:created>
  <dc:creator>Windows 用户</dc:creator>
  <cp:lastModifiedBy>lkb</cp:lastModifiedBy>
  <dcterms:modified xsi:type="dcterms:W3CDTF">2019-09-02T11:58:34Z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2052-11.1.0.8986</vt:lpwstr>
  </property>
</Properties>
</file>